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F138EB" w14:paraId="7947C80B" w14:textId="77777777">
        <w:trPr>
          <w:cantSplit/>
          <w:trHeight w:hRule="exact" w:val="315"/>
        </w:trPr>
        <w:tc>
          <w:tcPr>
            <w:tcW w:w="10920" w:type="dxa"/>
            <w:tcBorders>
              <w:top w:val="nil"/>
              <w:left w:val="nil"/>
              <w:bottom w:val="single" w:sz="16" w:space="0" w:color="000000"/>
              <w:right w:val="nil"/>
            </w:tcBorders>
            <w:tcMar>
              <w:top w:w="0" w:type="dxa"/>
              <w:left w:w="0" w:type="dxa"/>
              <w:bottom w:w="0" w:type="dxa"/>
              <w:right w:w="0" w:type="dxa"/>
            </w:tcMar>
            <w:vAlign w:val="bottom"/>
          </w:tcPr>
          <w:p w14:paraId="30098BDF" w14:textId="77777777" w:rsidR="00F138EB" w:rsidRDefault="00F138EB"/>
        </w:tc>
      </w:tr>
    </w:tbl>
    <w:p w14:paraId="51D24CA0" w14:textId="77777777" w:rsidR="00F138EB" w:rsidRDefault="00F138EB">
      <w:pPr>
        <w:spacing w:line="418" w:lineRule="auto"/>
        <w:jc w:val="center"/>
        <w:rPr>
          <w:b/>
        </w:rPr>
      </w:pPr>
    </w:p>
    <w:p w14:paraId="0BD26F12" w14:textId="77777777" w:rsidR="00F138EB" w:rsidRDefault="007F7810">
      <w:pPr>
        <w:spacing w:line="288" w:lineRule="auto"/>
        <w:jc w:val="center"/>
        <w:outlineLvl w:val="0"/>
        <w:rPr>
          <w:b/>
        </w:rPr>
      </w:pPr>
      <w:r>
        <w:rPr>
          <w:b/>
        </w:rPr>
        <w:t xml:space="preserve">UNITED STATES </w:t>
      </w:r>
    </w:p>
    <w:p w14:paraId="22FBA9F5" w14:textId="77777777" w:rsidR="00F138EB" w:rsidRDefault="007F7810">
      <w:pPr>
        <w:spacing w:line="288" w:lineRule="auto"/>
        <w:jc w:val="center"/>
        <w:rPr>
          <w:b/>
        </w:rPr>
      </w:pPr>
      <w:r>
        <w:rPr>
          <w:b/>
        </w:rPr>
        <w:t>SECURITIES AND EXCHANGE COMMISSION</w:t>
      </w:r>
    </w:p>
    <w:p w14:paraId="2BB3DA1F" w14:textId="77777777" w:rsidR="00F138EB" w:rsidRDefault="007F7810">
      <w:pPr>
        <w:spacing w:line="288" w:lineRule="auto"/>
        <w:jc w:val="center"/>
        <w:rPr>
          <w:b/>
        </w:rPr>
      </w:pPr>
      <w:r>
        <w:rPr>
          <w:b/>
        </w:rPr>
        <w:t>Washington, DC 20549</w:t>
      </w:r>
    </w:p>
    <w:p w14:paraId="2DC3A0FE" w14:textId="77777777" w:rsidR="00F138EB" w:rsidRDefault="00F138EB">
      <w:pPr>
        <w:spacing w:before="180" w:line="418" w:lineRule="auto"/>
        <w:jc w:val="center"/>
        <w:rPr>
          <w:b/>
        </w:rPr>
      </w:pPr>
    </w:p>
    <w:p w14:paraId="4503FFEC" w14:textId="77777777" w:rsidR="00F138EB" w:rsidRDefault="007F7810">
      <w:pPr>
        <w:spacing w:before="180" w:line="418" w:lineRule="auto"/>
        <w:jc w:val="center"/>
        <w:rPr>
          <w:b/>
        </w:rPr>
      </w:pPr>
      <w:r>
        <w:rPr>
          <w:b/>
        </w:rPr>
        <w:t>FORM SD</w:t>
      </w:r>
    </w:p>
    <w:p w14:paraId="457DDDCC" w14:textId="77777777" w:rsidR="00F138EB" w:rsidRDefault="007F7810">
      <w:pPr>
        <w:spacing w:line="418" w:lineRule="auto"/>
        <w:jc w:val="center"/>
        <w:rPr>
          <w:b/>
          <w:sz w:val="20"/>
        </w:rPr>
      </w:pPr>
      <w:r>
        <w:rPr>
          <w:b/>
          <w:sz w:val="20"/>
        </w:rPr>
        <w:t>SPECIALIZED DISCLOSURE REPORT</w:t>
      </w:r>
    </w:p>
    <w:p w14:paraId="08B2A584" w14:textId="77777777" w:rsidR="00F138EB" w:rsidRDefault="00F138EB">
      <w:pPr>
        <w:spacing w:line="288" w:lineRule="auto"/>
        <w:jc w:val="center"/>
        <w:rPr>
          <w:b/>
          <w:sz w:val="20"/>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3720"/>
        <w:gridCol w:w="3720"/>
      </w:tblGrid>
      <w:tr w:rsidR="00F138EB" w14:paraId="1D5FD131" w14:textId="77777777">
        <w:trPr>
          <w:cantSplit/>
          <w:trHeight w:hRule="exact" w:val="405"/>
          <w:jc w:val="center"/>
        </w:trPr>
        <w:tc>
          <w:tcPr>
            <w:tcW w:w="11160" w:type="dxa"/>
            <w:gridSpan w:val="3"/>
            <w:tcBorders>
              <w:top w:val="nil"/>
              <w:left w:val="nil"/>
              <w:bottom w:val="single" w:sz="8" w:space="0" w:color="000000"/>
              <w:right w:val="nil"/>
            </w:tcBorders>
            <w:tcMar>
              <w:top w:w="0" w:type="dxa"/>
              <w:left w:w="53" w:type="dxa"/>
              <w:bottom w:w="0" w:type="dxa"/>
              <w:right w:w="53" w:type="dxa"/>
            </w:tcMar>
            <w:vAlign w:val="center"/>
          </w:tcPr>
          <w:p w14:paraId="48847A97" w14:textId="77777777" w:rsidR="00F138EB" w:rsidRDefault="007F7810">
            <w:pPr>
              <w:keepNext/>
              <w:jc w:val="center"/>
            </w:pPr>
            <w:r>
              <w:rPr>
                <w:b/>
                <w:color w:val="000000"/>
              </w:rPr>
              <w:t>GENERAL MOTORS COMPANY</w:t>
            </w:r>
          </w:p>
        </w:tc>
      </w:tr>
      <w:tr w:rsidR="00F138EB" w14:paraId="2B7A8013" w14:textId="77777777">
        <w:trPr>
          <w:cantSplit/>
          <w:trHeight w:hRule="exact" w:val="405"/>
          <w:jc w:val="center"/>
        </w:trPr>
        <w:tc>
          <w:tcPr>
            <w:tcW w:w="11160" w:type="dxa"/>
            <w:gridSpan w:val="3"/>
            <w:tcBorders>
              <w:top w:val="nil"/>
              <w:left w:val="nil"/>
              <w:bottom w:val="nil"/>
              <w:right w:val="nil"/>
            </w:tcBorders>
            <w:tcMar>
              <w:top w:w="0" w:type="dxa"/>
              <w:left w:w="53" w:type="dxa"/>
              <w:bottom w:w="0" w:type="dxa"/>
              <w:right w:w="53" w:type="dxa"/>
            </w:tcMar>
            <w:vAlign w:val="center"/>
          </w:tcPr>
          <w:p w14:paraId="7FE91293" w14:textId="77777777" w:rsidR="00F138EB" w:rsidRDefault="007F7810">
            <w:pPr>
              <w:keepNext/>
              <w:jc w:val="center"/>
            </w:pPr>
            <w:r>
              <w:rPr>
                <w:i/>
                <w:color w:val="000000"/>
              </w:rPr>
              <w:t>(Exact name of registrant as specified in its charter)</w:t>
            </w:r>
          </w:p>
        </w:tc>
      </w:tr>
      <w:tr w:rsidR="00F138EB" w14:paraId="6D21FF19" w14:textId="77777777">
        <w:trPr>
          <w:cantSplit/>
          <w:trHeight w:hRule="exact" w:val="255"/>
          <w:jc w:val="center"/>
        </w:trPr>
        <w:tc>
          <w:tcPr>
            <w:tcW w:w="3720" w:type="dxa"/>
            <w:tcBorders>
              <w:top w:val="nil"/>
              <w:left w:val="nil"/>
              <w:bottom w:val="nil"/>
              <w:right w:val="nil"/>
            </w:tcBorders>
            <w:tcMar>
              <w:top w:w="0" w:type="dxa"/>
              <w:left w:w="0" w:type="dxa"/>
              <w:bottom w:w="0" w:type="dxa"/>
              <w:right w:w="0" w:type="dxa"/>
            </w:tcMar>
            <w:vAlign w:val="bottom"/>
          </w:tcPr>
          <w:p w14:paraId="15901752" w14:textId="77777777" w:rsidR="00F138EB" w:rsidRDefault="00F138EB">
            <w:pPr>
              <w:keepNext/>
            </w:pPr>
          </w:p>
        </w:tc>
        <w:tc>
          <w:tcPr>
            <w:tcW w:w="3720" w:type="dxa"/>
            <w:tcBorders>
              <w:top w:val="nil"/>
              <w:left w:val="nil"/>
              <w:bottom w:val="nil"/>
              <w:right w:val="nil"/>
            </w:tcBorders>
            <w:tcMar>
              <w:top w:w="0" w:type="dxa"/>
              <w:left w:w="0" w:type="dxa"/>
              <w:bottom w:w="0" w:type="dxa"/>
              <w:right w:w="0" w:type="dxa"/>
            </w:tcMar>
            <w:vAlign w:val="bottom"/>
          </w:tcPr>
          <w:p w14:paraId="53DB6407" w14:textId="77777777" w:rsidR="00F138EB" w:rsidRDefault="00F138EB">
            <w:pPr>
              <w:keepNext/>
            </w:pPr>
          </w:p>
        </w:tc>
        <w:tc>
          <w:tcPr>
            <w:tcW w:w="3720" w:type="dxa"/>
            <w:tcBorders>
              <w:top w:val="nil"/>
              <w:left w:val="nil"/>
              <w:bottom w:val="nil"/>
              <w:right w:val="nil"/>
            </w:tcBorders>
            <w:tcMar>
              <w:top w:w="0" w:type="dxa"/>
              <w:left w:w="0" w:type="dxa"/>
              <w:bottom w:w="0" w:type="dxa"/>
              <w:right w:w="0" w:type="dxa"/>
            </w:tcMar>
            <w:vAlign w:val="bottom"/>
          </w:tcPr>
          <w:p w14:paraId="22994613" w14:textId="77777777" w:rsidR="00F138EB" w:rsidRDefault="00F138EB">
            <w:pPr>
              <w:keepNext/>
            </w:pPr>
          </w:p>
        </w:tc>
      </w:tr>
      <w:tr w:rsidR="00F138EB" w14:paraId="3D308424" w14:textId="77777777">
        <w:trPr>
          <w:cantSplit/>
          <w:trHeight w:hRule="exact" w:val="360"/>
          <w:jc w:val="center"/>
        </w:trPr>
        <w:tc>
          <w:tcPr>
            <w:tcW w:w="7440" w:type="dxa"/>
            <w:gridSpan w:val="2"/>
            <w:tcBorders>
              <w:top w:val="nil"/>
              <w:left w:val="nil"/>
              <w:bottom w:val="single" w:sz="8" w:space="0" w:color="000000"/>
              <w:right w:val="nil"/>
            </w:tcBorders>
            <w:tcMar>
              <w:top w:w="0" w:type="dxa"/>
              <w:left w:w="53" w:type="dxa"/>
              <w:bottom w:w="0" w:type="dxa"/>
              <w:right w:w="53" w:type="dxa"/>
            </w:tcMar>
            <w:vAlign w:val="center"/>
          </w:tcPr>
          <w:p w14:paraId="4C4444C3" w14:textId="77777777" w:rsidR="00F138EB" w:rsidRDefault="007F7810">
            <w:pPr>
              <w:keepNext/>
              <w:jc w:val="center"/>
            </w:pPr>
            <w:r>
              <w:rPr>
                <w:b/>
                <w:color w:val="000000"/>
              </w:rPr>
              <w:t>STATE OF DELAWARE</w:t>
            </w:r>
          </w:p>
        </w:tc>
        <w:tc>
          <w:tcPr>
            <w:tcW w:w="3720" w:type="dxa"/>
            <w:tcBorders>
              <w:top w:val="nil"/>
              <w:left w:val="nil"/>
              <w:bottom w:val="single" w:sz="8" w:space="0" w:color="000000"/>
              <w:right w:val="nil"/>
            </w:tcBorders>
            <w:tcMar>
              <w:top w:w="0" w:type="dxa"/>
              <w:left w:w="53" w:type="dxa"/>
              <w:bottom w:w="0" w:type="dxa"/>
              <w:right w:w="53" w:type="dxa"/>
            </w:tcMar>
            <w:vAlign w:val="center"/>
          </w:tcPr>
          <w:p w14:paraId="720ECF38" w14:textId="77777777" w:rsidR="00F138EB" w:rsidRDefault="007F7810">
            <w:pPr>
              <w:keepNext/>
              <w:jc w:val="center"/>
            </w:pPr>
            <w:r>
              <w:rPr>
                <w:b/>
                <w:color w:val="000000"/>
              </w:rPr>
              <w:t>001-34960</w:t>
            </w:r>
          </w:p>
        </w:tc>
      </w:tr>
      <w:tr w:rsidR="00F138EB" w14:paraId="20B46CD2" w14:textId="77777777">
        <w:trPr>
          <w:cantSplit/>
          <w:trHeight w:hRule="exact" w:val="360"/>
          <w:jc w:val="center"/>
        </w:trPr>
        <w:tc>
          <w:tcPr>
            <w:tcW w:w="7440" w:type="dxa"/>
            <w:gridSpan w:val="2"/>
            <w:tcBorders>
              <w:top w:val="nil"/>
              <w:left w:val="nil"/>
              <w:bottom w:val="nil"/>
              <w:right w:val="nil"/>
            </w:tcBorders>
            <w:tcMar>
              <w:top w:w="0" w:type="dxa"/>
              <w:left w:w="53" w:type="dxa"/>
              <w:bottom w:w="0" w:type="dxa"/>
              <w:right w:w="53" w:type="dxa"/>
            </w:tcMar>
          </w:tcPr>
          <w:p w14:paraId="094A2908" w14:textId="77777777" w:rsidR="00F138EB" w:rsidRDefault="007F7810">
            <w:pPr>
              <w:keepNext/>
              <w:spacing w:before="55" w:after="30"/>
              <w:jc w:val="center"/>
            </w:pPr>
            <w:r>
              <w:rPr>
                <w:i/>
                <w:color w:val="000000"/>
              </w:rPr>
              <w:t>(State or other jurisdiction of incorporation)</w:t>
            </w:r>
          </w:p>
        </w:tc>
        <w:tc>
          <w:tcPr>
            <w:tcW w:w="3720" w:type="dxa"/>
            <w:tcBorders>
              <w:top w:val="single" w:sz="8" w:space="0" w:color="000000"/>
              <w:left w:val="nil"/>
              <w:bottom w:val="nil"/>
              <w:right w:val="nil"/>
            </w:tcBorders>
            <w:tcMar>
              <w:top w:w="0" w:type="dxa"/>
              <w:left w:w="53" w:type="dxa"/>
              <w:bottom w:w="0" w:type="dxa"/>
              <w:right w:w="53" w:type="dxa"/>
            </w:tcMar>
          </w:tcPr>
          <w:p w14:paraId="7D14C41C" w14:textId="77777777" w:rsidR="00F138EB" w:rsidRDefault="007F7810">
            <w:pPr>
              <w:keepNext/>
              <w:spacing w:before="55" w:after="30"/>
              <w:jc w:val="center"/>
            </w:pPr>
            <w:r>
              <w:rPr>
                <w:i/>
                <w:color w:val="000000"/>
              </w:rPr>
              <w:t>(Commission file number)</w:t>
            </w:r>
          </w:p>
        </w:tc>
      </w:tr>
      <w:tr w:rsidR="00F138EB" w14:paraId="22212D03" w14:textId="77777777">
        <w:trPr>
          <w:cantSplit/>
          <w:trHeight w:hRule="exact" w:val="300"/>
          <w:jc w:val="center"/>
        </w:trPr>
        <w:tc>
          <w:tcPr>
            <w:tcW w:w="3720" w:type="dxa"/>
            <w:tcBorders>
              <w:top w:val="nil"/>
              <w:left w:val="nil"/>
              <w:bottom w:val="nil"/>
              <w:right w:val="nil"/>
            </w:tcBorders>
            <w:tcMar>
              <w:top w:w="0" w:type="dxa"/>
              <w:left w:w="0" w:type="dxa"/>
              <w:bottom w:w="0" w:type="dxa"/>
              <w:right w:w="0" w:type="dxa"/>
            </w:tcMar>
            <w:vAlign w:val="bottom"/>
          </w:tcPr>
          <w:p w14:paraId="44BF7780" w14:textId="77777777" w:rsidR="00F138EB" w:rsidRDefault="00F138EB">
            <w:pPr>
              <w:keepNext/>
            </w:pPr>
          </w:p>
        </w:tc>
        <w:tc>
          <w:tcPr>
            <w:tcW w:w="3720" w:type="dxa"/>
            <w:tcBorders>
              <w:top w:val="nil"/>
              <w:left w:val="nil"/>
              <w:bottom w:val="nil"/>
              <w:right w:val="nil"/>
            </w:tcBorders>
            <w:tcMar>
              <w:top w:w="0" w:type="dxa"/>
              <w:left w:w="0" w:type="dxa"/>
              <w:bottom w:w="0" w:type="dxa"/>
              <w:right w:w="0" w:type="dxa"/>
            </w:tcMar>
            <w:vAlign w:val="bottom"/>
          </w:tcPr>
          <w:p w14:paraId="005840B9" w14:textId="77777777" w:rsidR="00F138EB" w:rsidRDefault="00F138EB">
            <w:pPr>
              <w:keepNext/>
            </w:pPr>
          </w:p>
        </w:tc>
        <w:tc>
          <w:tcPr>
            <w:tcW w:w="3720" w:type="dxa"/>
            <w:tcBorders>
              <w:top w:val="nil"/>
              <w:left w:val="nil"/>
              <w:bottom w:val="nil"/>
              <w:right w:val="nil"/>
            </w:tcBorders>
            <w:tcMar>
              <w:top w:w="0" w:type="dxa"/>
              <w:left w:w="0" w:type="dxa"/>
              <w:bottom w:w="0" w:type="dxa"/>
              <w:right w:w="0" w:type="dxa"/>
            </w:tcMar>
            <w:vAlign w:val="bottom"/>
          </w:tcPr>
          <w:p w14:paraId="54B796CE" w14:textId="77777777" w:rsidR="00F138EB" w:rsidRDefault="00F138EB">
            <w:pPr>
              <w:keepNext/>
            </w:pPr>
          </w:p>
        </w:tc>
      </w:tr>
      <w:tr w:rsidR="00F138EB" w14:paraId="2B7C75D5" w14:textId="77777777">
        <w:trPr>
          <w:cantSplit/>
          <w:trHeight w:hRule="exact" w:val="375"/>
          <w:jc w:val="center"/>
        </w:trPr>
        <w:tc>
          <w:tcPr>
            <w:tcW w:w="7440" w:type="dxa"/>
            <w:gridSpan w:val="2"/>
            <w:tcBorders>
              <w:top w:val="nil"/>
              <w:left w:val="nil"/>
              <w:bottom w:val="single" w:sz="8" w:space="0" w:color="000000"/>
              <w:right w:val="nil"/>
            </w:tcBorders>
            <w:tcMar>
              <w:top w:w="0" w:type="dxa"/>
              <w:left w:w="53" w:type="dxa"/>
              <w:bottom w:w="0" w:type="dxa"/>
              <w:right w:w="53" w:type="dxa"/>
            </w:tcMar>
            <w:vAlign w:val="center"/>
          </w:tcPr>
          <w:p w14:paraId="6DC89B96" w14:textId="77777777" w:rsidR="00F138EB" w:rsidRDefault="007F7810">
            <w:pPr>
              <w:keepNext/>
              <w:jc w:val="center"/>
            </w:pPr>
            <w:r>
              <w:rPr>
                <w:b/>
                <w:color w:val="000000"/>
              </w:rPr>
              <w:t>300 Renaissance Center, Detroit, Michigan</w:t>
            </w:r>
          </w:p>
        </w:tc>
        <w:tc>
          <w:tcPr>
            <w:tcW w:w="3720" w:type="dxa"/>
            <w:tcBorders>
              <w:top w:val="nil"/>
              <w:left w:val="nil"/>
              <w:bottom w:val="single" w:sz="8" w:space="0" w:color="000000"/>
              <w:right w:val="nil"/>
            </w:tcBorders>
            <w:tcMar>
              <w:top w:w="0" w:type="dxa"/>
              <w:left w:w="53" w:type="dxa"/>
              <w:bottom w:w="0" w:type="dxa"/>
              <w:right w:w="53" w:type="dxa"/>
            </w:tcMar>
            <w:vAlign w:val="center"/>
          </w:tcPr>
          <w:p w14:paraId="4405BEFB" w14:textId="77777777" w:rsidR="00F138EB" w:rsidRDefault="007F7810">
            <w:pPr>
              <w:keepNext/>
              <w:jc w:val="center"/>
            </w:pPr>
            <w:r>
              <w:rPr>
                <w:b/>
                <w:color w:val="000000"/>
              </w:rPr>
              <w:t>48265-3000</w:t>
            </w:r>
          </w:p>
        </w:tc>
      </w:tr>
      <w:tr w:rsidR="00F138EB" w14:paraId="089C4941" w14:textId="77777777">
        <w:trPr>
          <w:cantSplit/>
          <w:trHeight w:hRule="exact" w:val="360"/>
          <w:jc w:val="center"/>
        </w:trPr>
        <w:tc>
          <w:tcPr>
            <w:tcW w:w="7440" w:type="dxa"/>
            <w:gridSpan w:val="2"/>
            <w:tcBorders>
              <w:top w:val="nil"/>
              <w:left w:val="nil"/>
              <w:bottom w:val="nil"/>
              <w:right w:val="nil"/>
            </w:tcBorders>
            <w:tcMar>
              <w:top w:w="0" w:type="dxa"/>
              <w:left w:w="53" w:type="dxa"/>
              <w:bottom w:w="0" w:type="dxa"/>
              <w:right w:w="53" w:type="dxa"/>
            </w:tcMar>
          </w:tcPr>
          <w:p w14:paraId="60C12D44" w14:textId="77777777" w:rsidR="00F138EB" w:rsidRDefault="007F7810">
            <w:pPr>
              <w:keepNext/>
              <w:spacing w:before="55" w:after="30"/>
              <w:jc w:val="center"/>
            </w:pPr>
            <w:r>
              <w:rPr>
                <w:i/>
                <w:color w:val="000000"/>
              </w:rPr>
              <w:t>(Address of principal executive offices)</w:t>
            </w:r>
          </w:p>
        </w:tc>
        <w:tc>
          <w:tcPr>
            <w:tcW w:w="3720" w:type="dxa"/>
            <w:tcBorders>
              <w:top w:val="single" w:sz="8" w:space="0" w:color="000000"/>
              <w:left w:val="nil"/>
              <w:bottom w:val="nil"/>
              <w:right w:val="nil"/>
            </w:tcBorders>
            <w:tcMar>
              <w:top w:w="0" w:type="dxa"/>
              <w:left w:w="53" w:type="dxa"/>
              <w:bottom w:w="0" w:type="dxa"/>
              <w:right w:w="53" w:type="dxa"/>
            </w:tcMar>
          </w:tcPr>
          <w:p w14:paraId="6DF26F14" w14:textId="77777777" w:rsidR="00F138EB" w:rsidRDefault="007F7810">
            <w:pPr>
              <w:keepNext/>
              <w:spacing w:before="55" w:after="30"/>
              <w:jc w:val="center"/>
            </w:pPr>
            <w:r>
              <w:rPr>
                <w:i/>
                <w:color w:val="000000"/>
              </w:rPr>
              <w:t>(Zip code)</w:t>
            </w:r>
          </w:p>
        </w:tc>
      </w:tr>
      <w:tr w:rsidR="00F138EB" w14:paraId="28E03006" w14:textId="77777777">
        <w:trPr>
          <w:cantSplit/>
          <w:trHeight w:hRule="exact" w:val="300"/>
          <w:jc w:val="center"/>
        </w:trPr>
        <w:tc>
          <w:tcPr>
            <w:tcW w:w="3720" w:type="dxa"/>
            <w:tcBorders>
              <w:top w:val="nil"/>
              <w:left w:val="nil"/>
              <w:bottom w:val="nil"/>
              <w:right w:val="nil"/>
            </w:tcBorders>
            <w:tcMar>
              <w:top w:w="0" w:type="dxa"/>
              <w:left w:w="0" w:type="dxa"/>
              <w:bottom w:w="0" w:type="dxa"/>
              <w:right w:w="0" w:type="dxa"/>
            </w:tcMar>
            <w:vAlign w:val="bottom"/>
          </w:tcPr>
          <w:p w14:paraId="6EB3072C" w14:textId="77777777" w:rsidR="00F138EB" w:rsidRDefault="00F138EB">
            <w:pPr>
              <w:keepNext/>
            </w:pPr>
          </w:p>
        </w:tc>
        <w:tc>
          <w:tcPr>
            <w:tcW w:w="3720" w:type="dxa"/>
            <w:tcBorders>
              <w:top w:val="nil"/>
              <w:left w:val="nil"/>
              <w:bottom w:val="nil"/>
              <w:right w:val="nil"/>
            </w:tcBorders>
            <w:tcMar>
              <w:top w:w="0" w:type="dxa"/>
              <w:left w:w="0" w:type="dxa"/>
              <w:bottom w:w="0" w:type="dxa"/>
              <w:right w:w="0" w:type="dxa"/>
            </w:tcMar>
            <w:vAlign w:val="bottom"/>
          </w:tcPr>
          <w:p w14:paraId="6527048A" w14:textId="77777777" w:rsidR="00F138EB" w:rsidRDefault="00F138EB">
            <w:pPr>
              <w:keepNext/>
            </w:pPr>
          </w:p>
        </w:tc>
        <w:tc>
          <w:tcPr>
            <w:tcW w:w="3720" w:type="dxa"/>
            <w:tcBorders>
              <w:top w:val="nil"/>
              <w:left w:val="nil"/>
              <w:bottom w:val="nil"/>
              <w:right w:val="nil"/>
            </w:tcBorders>
            <w:tcMar>
              <w:top w:w="0" w:type="dxa"/>
              <w:left w:w="0" w:type="dxa"/>
              <w:bottom w:w="0" w:type="dxa"/>
              <w:right w:w="0" w:type="dxa"/>
            </w:tcMar>
            <w:vAlign w:val="bottom"/>
          </w:tcPr>
          <w:p w14:paraId="24E60F28" w14:textId="77777777" w:rsidR="00F138EB" w:rsidRDefault="00F138EB">
            <w:pPr>
              <w:keepNext/>
            </w:pPr>
          </w:p>
        </w:tc>
      </w:tr>
      <w:tr w:rsidR="00F138EB" w14:paraId="6210E35F" w14:textId="77777777">
        <w:trPr>
          <w:cantSplit/>
          <w:trHeight w:hRule="exact" w:val="615"/>
          <w:jc w:val="center"/>
        </w:trPr>
        <w:tc>
          <w:tcPr>
            <w:tcW w:w="11160" w:type="dxa"/>
            <w:gridSpan w:val="3"/>
            <w:tcBorders>
              <w:top w:val="nil"/>
              <w:left w:val="nil"/>
              <w:bottom w:val="single" w:sz="8" w:space="0" w:color="000000"/>
              <w:right w:val="nil"/>
            </w:tcBorders>
            <w:tcMar>
              <w:top w:w="0" w:type="dxa"/>
              <w:left w:w="53" w:type="dxa"/>
              <w:bottom w:w="0" w:type="dxa"/>
              <w:right w:w="53" w:type="dxa"/>
            </w:tcMar>
            <w:vAlign w:val="center"/>
          </w:tcPr>
          <w:p w14:paraId="3B9F1C63" w14:textId="77777777" w:rsidR="00F138EB" w:rsidRDefault="007F7810">
            <w:pPr>
              <w:keepNext/>
              <w:jc w:val="center"/>
            </w:pPr>
            <w:r>
              <w:rPr>
                <w:b/>
                <w:color w:val="000000"/>
                <w:sz w:val="23"/>
              </w:rPr>
              <w:t>Doug L. Parks - Executive Vice President, Global Product Development, Purchasing and Supply Chain               (313) 556-5000</w:t>
            </w:r>
          </w:p>
        </w:tc>
      </w:tr>
      <w:tr w:rsidR="00F138EB" w14:paraId="4DD1FE93" w14:textId="77777777">
        <w:trPr>
          <w:cantSplit/>
          <w:trHeight w:hRule="exact" w:val="360"/>
          <w:jc w:val="center"/>
        </w:trPr>
        <w:tc>
          <w:tcPr>
            <w:tcW w:w="11160" w:type="dxa"/>
            <w:gridSpan w:val="3"/>
            <w:tcBorders>
              <w:top w:val="nil"/>
              <w:left w:val="nil"/>
              <w:bottom w:val="nil"/>
              <w:right w:val="nil"/>
            </w:tcBorders>
            <w:tcMar>
              <w:top w:w="0" w:type="dxa"/>
              <w:left w:w="53" w:type="dxa"/>
              <w:bottom w:w="0" w:type="dxa"/>
              <w:right w:w="53" w:type="dxa"/>
            </w:tcMar>
            <w:vAlign w:val="bottom"/>
          </w:tcPr>
          <w:p w14:paraId="3CEF9272" w14:textId="77777777" w:rsidR="00F138EB" w:rsidRDefault="007F7810">
            <w:pPr>
              <w:spacing w:before="55" w:after="30"/>
              <w:jc w:val="center"/>
            </w:pPr>
            <w:r>
              <w:rPr>
                <w:i/>
                <w:color w:val="000000"/>
              </w:rPr>
              <w:t>(Name and telephone number, including area code, of the person to contact in connection with this report.)</w:t>
            </w:r>
          </w:p>
        </w:tc>
      </w:tr>
    </w:tbl>
    <w:p w14:paraId="0C201B1B" w14:textId="77777777" w:rsidR="00F138EB" w:rsidRDefault="00F138EB">
      <w:pPr>
        <w:spacing w:before="40" w:line="418" w:lineRule="auto"/>
        <w:rPr>
          <w:sz w:val="20"/>
        </w:rPr>
      </w:pPr>
    </w:p>
    <w:p w14:paraId="46BC9C25" w14:textId="77777777" w:rsidR="00F138EB" w:rsidRDefault="007F7810">
      <w:pPr>
        <w:spacing w:after="140" w:line="288" w:lineRule="auto"/>
        <w:jc w:val="both"/>
      </w:pPr>
      <w:r>
        <w:t>Check the appropriate box to indicate the rule pursuant to which this form is being filed:</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195"/>
        <w:gridCol w:w="9735"/>
      </w:tblGrid>
      <w:tr w:rsidR="00F138EB" w14:paraId="5B45AEF6" w14:textId="77777777">
        <w:trPr>
          <w:cantSplit/>
          <w:trHeight w:hRule="exact" w:val="705"/>
          <w:jc w:val="center"/>
        </w:trPr>
        <w:tc>
          <w:tcPr>
            <w:tcW w:w="10230" w:type="dxa"/>
            <w:gridSpan w:val="3"/>
            <w:tcBorders>
              <w:top w:val="nil"/>
              <w:left w:val="nil"/>
              <w:bottom w:val="nil"/>
              <w:right w:val="nil"/>
            </w:tcBorders>
            <w:tcMar>
              <w:top w:w="0" w:type="dxa"/>
              <w:left w:w="53" w:type="dxa"/>
              <w:bottom w:w="0" w:type="dxa"/>
              <w:right w:w="53" w:type="dxa"/>
            </w:tcMar>
            <w:vAlign w:val="center"/>
          </w:tcPr>
          <w:p w14:paraId="4CBF2044" w14:textId="77777777" w:rsidR="00F138EB" w:rsidRDefault="007F7810">
            <w:pPr>
              <w:keepNext/>
              <w:rPr>
                <w:rFonts w:ascii="Wingdings" w:eastAsia="Wingdings" w:hAnsi="Wingdings" w:cs="Wingdings"/>
                <w:sz w:val="20"/>
              </w:rPr>
            </w:pPr>
            <w:r>
              <w:rPr>
                <w:rFonts w:ascii="Wingdings" w:eastAsia="Wingdings" w:hAnsi="Wingdings" w:cs="Wingdings"/>
                <w:sz w:val="20"/>
              </w:rPr>
              <w:t xml:space="preserve">þ  </w:t>
            </w:r>
            <w:r>
              <w:t>Rule 13p-1 under the Securities Exchange Act (17 CFR 240.13p-1) for the reporting period from January 1 to December 31, 2021.</w:t>
            </w:r>
          </w:p>
        </w:tc>
      </w:tr>
      <w:tr w:rsidR="00F138EB" w14:paraId="51C419F3" w14:textId="77777777">
        <w:trPr>
          <w:cantSplit/>
          <w:trHeight w:hRule="exact" w:val="195"/>
          <w:jc w:val="center"/>
        </w:trPr>
        <w:tc>
          <w:tcPr>
            <w:tcW w:w="300" w:type="dxa"/>
            <w:tcBorders>
              <w:top w:val="nil"/>
              <w:left w:val="nil"/>
              <w:bottom w:val="nil"/>
              <w:right w:val="nil"/>
            </w:tcBorders>
            <w:tcMar>
              <w:top w:w="0" w:type="dxa"/>
              <w:left w:w="0" w:type="dxa"/>
              <w:bottom w:w="0" w:type="dxa"/>
              <w:right w:w="0" w:type="dxa"/>
            </w:tcMar>
            <w:vAlign w:val="bottom"/>
          </w:tcPr>
          <w:p w14:paraId="1B56008A" w14:textId="77777777" w:rsidR="00F138EB" w:rsidRDefault="00F138EB">
            <w:pPr>
              <w:keepNext/>
            </w:pPr>
          </w:p>
        </w:tc>
        <w:tc>
          <w:tcPr>
            <w:tcW w:w="195" w:type="dxa"/>
            <w:tcBorders>
              <w:top w:val="nil"/>
              <w:left w:val="nil"/>
              <w:bottom w:val="nil"/>
              <w:right w:val="nil"/>
            </w:tcBorders>
            <w:tcMar>
              <w:top w:w="0" w:type="dxa"/>
              <w:left w:w="0" w:type="dxa"/>
              <w:bottom w:w="0" w:type="dxa"/>
              <w:right w:w="0" w:type="dxa"/>
            </w:tcMar>
            <w:vAlign w:val="bottom"/>
          </w:tcPr>
          <w:p w14:paraId="4D5F7A8F" w14:textId="77777777" w:rsidR="00F138EB" w:rsidRDefault="00F138EB">
            <w:pPr>
              <w:keepNext/>
            </w:pPr>
          </w:p>
        </w:tc>
        <w:tc>
          <w:tcPr>
            <w:tcW w:w="9735" w:type="dxa"/>
            <w:tcBorders>
              <w:top w:val="nil"/>
              <w:left w:val="nil"/>
              <w:bottom w:val="nil"/>
              <w:right w:val="nil"/>
            </w:tcBorders>
            <w:tcMar>
              <w:top w:w="0" w:type="dxa"/>
              <w:left w:w="0" w:type="dxa"/>
              <w:bottom w:w="0" w:type="dxa"/>
              <w:right w:w="0" w:type="dxa"/>
            </w:tcMar>
            <w:vAlign w:val="bottom"/>
          </w:tcPr>
          <w:p w14:paraId="62EDA447" w14:textId="77777777" w:rsidR="00F138EB" w:rsidRDefault="00F138EB">
            <w:pPr>
              <w:keepNext/>
            </w:pPr>
          </w:p>
        </w:tc>
      </w:tr>
      <w:tr w:rsidR="00F138EB" w14:paraId="6C30E8EE" w14:textId="77777777">
        <w:trPr>
          <w:cantSplit/>
          <w:trHeight w:hRule="exact" w:val="705"/>
          <w:jc w:val="center"/>
        </w:trPr>
        <w:tc>
          <w:tcPr>
            <w:tcW w:w="10230" w:type="dxa"/>
            <w:gridSpan w:val="3"/>
            <w:tcBorders>
              <w:top w:val="nil"/>
              <w:left w:val="nil"/>
              <w:bottom w:val="nil"/>
              <w:right w:val="nil"/>
            </w:tcBorders>
            <w:tcMar>
              <w:top w:w="0" w:type="dxa"/>
              <w:left w:w="53" w:type="dxa"/>
              <w:bottom w:w="0" w:type="dxa"/>
              <w:right w:w="53" w:type="dxa"/>
            </w:tcMar>
            <w:vAlign w:val="center"/>
          </w:tcPr>
          <w:p w14:paraId="6B24572A" w14:textId="77777777" w:rsidR="00F138EB" w:rsidRDefault="007F7810">
            <w:pPr>
              <w:spacing w:line="269" w:lineRule="auto"/>
              <w:rPr>
                <w:rFonts w:ascii="Calibri" w:eastAsia="Calibri" w:hAnsi="Calibri" w:cs="Calibri"/>
                <w:sz w:val="22"/>
              </w:rPr>
            </w:pPr>
            <w:r>
              <w:rPr>
                <w:b/>
                <w:color w:val="363940"/>
                <w:sz w:val="20"/>
                <w:shd w:val="clear" w:color="auto" w:fill="FFFFFF"/>
              </w:rPr>
              <w:t>☐</w:t>
            </w:r>
            <w:r>
              <w:rPr>
                <w:rFonts w:ascii="Wingdings" w:eastAsia="Wingdings" w:hAnsi="Wingdings" w:cs="Wingdings"/>
                <w:sz w:val="20"/>
              </w:rPr>
              <w:t xml:space="preserve">  </w:t>
            </w:r>
            <w:r>
              <w:t>Rule 13q-1 under the Securities Exchange Act (17 CFR 240.13q-1) for the fiscal year ended _____.</w:t>
            </w:r>
          </w:p>
        </w:tc>
      </w:tr>
    </w:tbl>
    <w:p w14:paraId="2B64EA46" w14:textId="77777777" w:rsidR="00F138EB" w:rsidRDefault="00F138EB">
      <w:pPr>
        <w:spacing w:line="288" w:lineRule="auto"/>
        <w:rPr>
          <w:sz w:val="20"/>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F138EB" w14:paraId="0F492278" w14:textId="77777777">
        <w:trPr>
          <w:cantSplit/>
          <w:trHeight w:hRule="exact" w:val="105"/>
        </w:trPr>
        <w:tc>
          <w:tcPr>
            <w:tcW w:w="10920" w:type="dxa"/>
            <w:tcBorders>
              <w:top w:val="nil"/>
              <w:left w:val="nil"/>
              <w:bottom w:val="single" w:sz="16" w:space="0" w:color="000000"/>
              <w:right w:val="nil"/>
            </w:tcBorders>
            <w:tcMar>
              <w:top w:w="0" w:type="dxa"/>
              <w:left w:w="0" w:type="dxa"/>
              <w:bottom w:w="0" w:type="dxa"/>
              <w:right w:w="0" w:type="dxa"/>
            </w:tcMar>
            <w:vAlign w:val="bottom"/>
          </w:tcPr>
          <w:p w14:paraId="597C43FD" w14:textId="77777777" w:rsidR="00F138EB" w:rsidRDefault="00F138EB"/>
        </w:tc>
      </w:tr>
    </w:tbl>
    <w:p w14:paraId="03BC1C1B" w14:textId="77777777" w:rsidR="00F138EB" w:rsidRDefault="00F138EB">
      <w:pPr>
        <w:spacing w:line="418" w:lineRule="auto"/>
        <w:rPr>
          <w:sz w:val="20"/>
        </w:rPr>
      </w:pPr>
    </w:p>
    <w:p w14:paraId="628EE85C" w14:textId="77777777" w:rsidR="00F138EB" w:rsidRDefault="00F138EB">
      <w:pPr>
        <w:spacing w:line="418" w:lineRule="auto"/>
        <w:rPr>
          <w:sz w:val="20"/>
        </w:rPr>
      </w:pPr>
    </w:p>
    <w:p w14:paraId="1F75063D" w14:textId="77777777" w:rsidR="00F138EB" w:rsidRDefault="00F138EB">
      <w:pPr>
        <w:spacing w:line="418" w:lineRule="auto"/>
        <w:rPr>
          <w:sz w:val="20"/>
        </w:rPr>
      </w:pPr>
    </w:p>
    <w:p w14:paraId="677D0C74" w14:textId="77777777" w:rsidR="00F138EB" w:rsidRDefault="00F138EB">
      <w:pPr>
        <w:spacing w:line="418" w:lineRule="auto"/>
        <w:rPr>
          <w:sz w:val="20"/>
        </w:rPr>
      </w:pPr>
    </w:p>
    <w:p w14:paraId="4353A41E" w14:textId="77777777" w:rsidR="00F138EB" w:rsidRDefault="00F138EB">
      <w:pPr>
        <w:spacing w:line="418" w:lineRule="auto"/>
        <w:rPr>
          <w:sz w:val="20"/>
        </w:rPr>
      </w:pPr>
    </w:p>
    <w:p w14:paraId="7ACBF4E7" w14:textId="77777777" w:rsidR="00F138EB" w:rsidRDefault="00F138EB">
      <w:pPr>
        <w:spacing w:line="418" w:lineRule="auto"/>
        <w:rPr>
          <w:sz w:val="20"/>
        </w:rPr>
      </w:pPr>
    </w:p>
    <w:p w14:paraId="7D7F323B" w14:textId="77777777" w:rsidR="00F138EB" w:rsidRDefault="00F138EB">
      <w:pPr>
        <w:spacing w:line="418" w:lineRule="auto"/>
        <w:rPr>
          <w:sz w:val="20"/>
        </w:rPr>
      </w:pPr>
    </w:p>
    <w:p w14:paraId="13B70C6E" w14:textId="77777777" w:rsidR="00F138EB" w:rsidRDefault="00F138EB">
      <w:pPr>
        <w:spacing w:line="418" w:lineRule="auto"/>
        <w:rPr>
          <w:sz w:val="20"/>
        </w:rPr>
      </w:pPr>
    </w:p>
    <w:p w14:paraId="70648956" w14:textId="77777777" w:rsidR="00F138EB" w:rsidRDefault="00F138EB">
      <w:pPr>
        <w:spacing w:line="418" w:lineRule="auto"/>
        <w:rPr>
          <w:sz w:val="20"/>
        </w:rPr>
      </w:pPr>
    </w:p>
    <w:p w14:paraId="5BF59CFB" w14:textId="77777777" w:rsidR="00F138EB" w:rsidRDefault="00F138EB">
      <w:pPr>
        <w:spacing w:line="418" w:lineRule="auto"/>
        <w:rPr>
          <w:sz w:val="20"/>
        </w:rPr>
      </w:pPr>
    </w:p>
    <w:p w14:paraId="78942305" w14:textId="77777777" w:rsidR="00F138EB" w:rsidRDefault="00F138EB">
      <w:pPr>
        <w:spacing w:line="418" w:lineRule="auto"/>
        <w:rPr>
          <w:sz w:val="20"/>
        </w:rPr>
        <w:sectPr w:rsidR="00F138EB">
          <w:headerReference w:type="even" r:id="rId7"/>
          <w:headerReference w:type="default" r:id="rId8"/>
          <w:footerReference w:type="even" r:id="rId9"/>
          <w:footerReference w:type="default" r:id="rId10"/>
          <w:headerReference w:type="first" r:id="rId11"/>
          <w:footerReference w:type="first" r:id="rId12"/>
          <w:type w:val="continuous"/>
          <w:pgSz w:w="12240" w:h="15840"/>
          <w:pgMar w:top="855" w:right="540" w:bottom="855" w:left="540" w:header="270" w:footer="270" w:gutter="0"/>
          <w:cols w:space="708"/>
          <w:docGrid w:linePitch="360"/>
        </w:sectPr>
      </w:pPr>
    </w:p>
    <w:p w14:paraId="07D2B2E2" w14:textId="77777777" w:rsidR="0048181A" w:rsidRDefault="0048181A">
      <w:pPr>
        <w:spacing w:line="418" w:lineRule="auto"/>
        <w:jc w:val="center"/>
        <w:outlineLvl w:val="0"/>
        <w:rPr>
          <w:b/>
        </w:rPr>
      </w:pPr>
      <w:bookmarkStart w:id="0" w:name="Section2"/>
      <w:bookmarkEnd w:id="0"/>
    </w:p>
    <w:p w14:paraId="66106ED9" w14:textId="2E442881" w:rsidR="00F138EB" w:rsidRDefault="007F7810">
      <w:pPr>
        <w:spacing w:line="418" w:lineRule="auto"/>
        <w:jc w:val="center"/>
        <w:outlineLvl w:val="0"/>
        <w:rPr>
          <w:b/>
        </w:rPr>
      </w:pPr>
      <w:r>
        <w:rPr>
          <w:b/>
        </w:rPr>
        <w:lastRenderedPageBreak/>
        <w:t>INFORMATION TO BE INCLUDED IN THE REPORT</w:t>
      </w:r>
    </w:p>
    <w:p w14:paraId="1F797ABD" w14:textId="77777777" w:rsidR="00F138EB" w:rsidRDefault="00F138EB">
      <w:pPr>
        <w:spacing w:line="288" w:lineRule="auto"/>
        <w:rPr>
          <w:b/>
        </w:rPr>
      </w:pPr>
    </w:p>
    <w:p w14:paraId="12665A76" w14:textId="77777777" w:rsidR="00F138EB" w:rsidRDefault="007F7810">
      <w:pPr>
        <w:spacing w:line="288" w:lineRule="auto"/>
        <w:rPr>
          <w:b/>
        </w:rPr>
      </w:pPr>
      <w:r>
        <w:rPr>
          <w:b/>
        </w:rPr>
        <w:t>Section 1 – Conflict Minerals Disclosure</w:t>
      </w:r>
    </w:p>
    <w:p w14:paraId="7BA92460" w14:textId="77777777" w:rsidR="00F138EB" w:rsidRDefault="00F138EB">
      <w:pPr>
        <w:spacing w:line="288" w:lineRule="auto"/>
        <w:rPr>
          <w:sz w:val="20"/>
        </w:rPr>
      </w:pPr>
    </w:p>
    <w:p w14:paraId="22E569F8" w14:textId="77777777" w:rsidR="00F138EB" w:rsidRDefault="007F7810">
      <w:pPr>
        <w:spacing w:line="288" w:lineRule="auto"/>
        <w:rPr>
          <w:b/>
        </w:rPr>
      </w:pPr>
      <w:r>
        <w:rPr>
          <w:b/>
        </w:rPr>
        <w:t>Item 1.01 Conflict Minerals Disclosure and Report</w:t>
      </w:r>
    </w:p>
    <w:p w14:paraId="561F0292" w14:textId="77777777" w:rsidR="00F138EB" w:rsidRDefault="00F138EB">
      <w:pPr>
        <w:spacing w:line="288" w:lineRule="auto"/>
        <w:ind w:left="90"/>
        <w:jc w:val="both"/>
        <w:rPr>
          <w:sz w:val="20"/>
        </w:rPr>
      </w:pPr>
    </w:p>
    <w:p w14:paraId="7EB26CB5" w14:textId="77777777" w:rsidR="00F138EB" w:rsidRDefault="007F7810">
      <w:pPr>
        <w:spacing w:line="418" w:lineRule="auto"/>
        <w:ind w:firstLine="180"/>
      </w:pPr>
      <w:r>
        <w:t xml:space="preserve">A Conflict Minerals Report is filed as Exhibit 1.01 and is also publicly available at the following Internet website: https://investor.gm.com/sec-filings.   </w:t>
      </w:r>
    </w:p>
    <w:p w14:paraId="1E015B82" w14:textId="77777777" w:rsidR="00F138EB" w:rsidRDefault="00F138EB">
      <w:pPr>
        <w:spacing w:line="288" w:lineRule="auto"/>
        <w:ind w:firstLine="180"/>
        <w:jc w:val="center"/>
        <w:rPr>
          <w:sz w:val="20"/>
        </w:rPr>
      </w:pPr>
    </w:p>
    <w:p w14:paraId="35205887" w14:textId="77777777" w:rsidR="00F138EB" w:rsidRDefault="007F7810">
      <w:pPr>
        <w:spacing w:line="288" w:lineRule="auto"/>
        <w:rPr>
          <w:b/>
        </w:rPr>
      </w:pPr>
      <w:r>
        <w:rPr>
          <w:b/>
        </w:rPr>
        <w:t>Item 1.02 Exhibit</w:t>
      </w:r>
    </w:p>
    <w:p w14:paraId="34F105C4" w14:textId="77777777" w:rsidR="00F138EB" w:rsidRDefault="00F138EB">
      <w:pPr>
        <w:spacing w:line="288" w:lineRule="auto"/>
        <w:rPr>
          <w:sz w:val="20"/>
        </w:rPr>
      </w:pPr>
    </w:p>
    <w:p w14:paraId="1D76F810" w14:textId="77777777" w:rsidR="00F138EB" w:rsidRDefault="007F7810">
      <w:pPr>
        <w:spacing w:line="288" w:lineRule="auto"/>
        <w:ind w:firstLine="180"/>
      </w:pPr>
      <w:r>
        <w:t>The Conflict Minerals Report required by Item 1.01 and 1.02 is filed as Exhibit 1.01 to this Form SD.</w:t>
      </w:r>
      <w:r>
        <w:rPr>
          <w:sz w:val="20"/>
        </w:rPr>
        <w:tab/>
      </w:r>
    </w:p>
    <w:p w14:paraId="781738B4" w14:textId="77777777" w:rsidR="00F138EB" w:rsidRDefault="00F138EB">
      <w:pPr>
        <w:spacing w:line="288" w:lineRule="auto"/>
        <w:rPr>
          <w:sz w:val="20"/>
        </w:rPr>
      </w:pPr>
    </w:p>
    <w:p w14:paraId="2DE748C1" w14:textId="77777777" w:rsidR="00F138EB" w:rsidRDefault="007F7810">
      <w:pPr>
        <w:spacing w:line="418" w:lineRule="auto"/>
        <w:ind w:firstLine="180"/>
        <w:jc w:val="center"/>
      </w:pPr>
      <w:r>
        <w:t>*  *  *  *  *  *  *</w:t>
      </w:r>
    </w:p>
    <w:p w14:paraId="1CDED53A" w14:textId="77777777" w:rsidR="00F138EB" w:rsidRDefault="00F138EB">
      <w:pPr>
        <w:spacing w:line="288" w:lineRule="auto"/>
        <w:rPr>
          <w:sz w:val="20"/>
        </w:rPr>
      </w:pPr>
    </w:p>
    <w:p w14:paraId="2BA6E5FE" w14:textId="77777777" w:rsidR="00F138EB" w:rsidRDefault="00F138EB">
      <w:pPr>
        <w:spacing w:line="288" w:lineRule="auto"/>
        <w:rPr>
          <w:sz w:val="20"/>
        </w:rPr>
      </w:pPr>
    </w:p>
    <w:p w14:paraId="3CD20589" w14:textId="77777777" w:rsidR="00F138EB" w:rsidRDefault="00F138EB">
      <w:pPr>
        <w:spacing w:line="288" w:lineRule="auto"/>
        <w:sectPr w:rsidR="00F138EB">
          <w:type w:val="continuous"/>
          <w:pgSz w:w="12240" w:h="15840"/>
          <w:pgMar w:top="855" w:right="540" w:bottom="855" w:left="540" w:header="270" w:footer="270" w:gutter="0"/>
          <w:cols w:space="708"/>
        </w:sectPr>
      </w:pPr>
    </w:p>
    <w:p w14:paraId="602B1E74" w14:textId="77777777" w:rsidR="00F138EB" w:rsidRDefault="007F7810">
      <w:pPr>
        <w:spacing w:line="288" w:lineRule="auto"/>
        <w:jc w:val="both"/>
        <w:outlineLvl w:val="0"/>
        <w:rPr>
          <w:b/>
        </w:rPr>
      </w:pPr>
      <w:bookmarkStart w:id="1" w:name="Section3"/>
      <w:bookmarkEnd w:id="1"/>
      <w:r>
        <w:rPr>
          <w:b/>
        </w:rPr>
        <w:t>Section 2 – Resource Extraction Issuer Disclosure</w:t>
      </w:r>
    </w:p>
    <w:p w14:paraId="713C1F21" w14:textId="77777777" w:rsidR="00F138EB" w:rsidRDefault="00F138EB">
      <w:pPr>
        <w:spacing w:line="288" w:lineRule="auto"/>
        <w:jc w:val="both"/>
        <w:rPr>
          <w:b/>
        </w:rPr>
      </w:pPr>
    </w:p>
    <w:p w14:paraId="2A8330C5" w14:textId="77777777" w:rsidR="00F138EB" w:rsidRDefault="007F7810">
      <w:pPr>
        <w:spacing w:line="288" w:lineRule="auto"/>
        <w:rPr>
          <w:b/>
        </w:rPr>
      </w:pPr>
      <w:r>
        <w:rPr>
          <w:b/>
        </w:rPr>
        <w:t>Item 2.01 Resource Extraction Issuer Disclosure and Report</w:t>
      </w:r>
    </w:p>
    <w:p w14:paraId="05F2D21B" w14:textId="77777777" w:rsidR="00F138EB" w:rsidRDefault="00F138EB">
      <w:pPr>
        <w:spacing w:line="288" w:lineRule="auto"/>
        <w:rPr>
          <w:b/>
        </w:rPr>
      </w:pPr>
    </w:p>
    <w:p w14:paraId="4F7315CC" w14:textId="77777777" w:rsidR="00F138EB" w:rsidRDefault="007F7810">
      <w:pPr>
        <w:spacing w:line="418" w:lineRule="auto"/>
        <w:ind w:firstLine="180"/>
        <w:jc w:val="both"/>
      </w:pPr>
      <w:r>
        <w:t>Not applicable</w:t>
      </w:r>
    </w:p>
    <w:p w14:paraId="0D181199" w14:textId="77777777" w:rsidR="00F138EB" w:rsidRDefault="00F138EB">
      <w:pPr>
        <w:spacing w:line="288" w:lineRule="auto"/>
        <w:jc w:val="both"/>
      </w:pPr>
    </w:p>
    <w:p w14:paraId="6F67CFEE" w14:textId="77777777" w:rsidR="00F138EB" w:rsidRDefault="007F7810">
      <w:pPr>
        <w:spacing w:line="418" w:lineRule="auto"/>
        <w:ind w:firstLine="180"/>
        <w:jc w:val="center"/>
      </w:pPr>
      <w:r>
        <w:t>*  *  *  *  *  *  *</w:t>
      </w:r>
    </w:p>
    <w:p w14:paraId="7CA0C3E2" w14:textId="77777777" w:rsidR="00F138EB" w:rsidRDefault="00F138EB">
      <w:pPr>
        <w:spacing w:line="418" w:lineRule="auto"/>
        <w:ind w:firstLine="180"/>
        <w:jc w:val="center"/>
      </w:pPr>
    </w:p>
    <w:p w14:paraId="3E87C0FE" w14:textId="77777777" w:rsidR="00F138EB" w:rsidRDefault="00F138EB">
      <w:pPr>
        <w:spacing w:line="418" w:lineRule="auto"/>
        <w:ind w:firstLine="180"/>
        <w:jc w:val="center"/>
        <w:sectPr w:rsidR="00F138EB">
          <w:type w:val="continuous"/>
          <w:pgSz w:w="12240" w:h="15840"/>
          <w:pgMar w:top="855" w:right="540" w:bottom="855" w:left="540" w:header="270" w:footer="270" w:gutter="0"/>
          <w:cols w:space="708"/>
        </w:sectPr>
      </w:pPr>
    </w:p>
    <w:p w14:paraId="7903AEE8" w14:textId="77777777" w:rsidR="00F138EB" w:rsidRDefault="007F7810">
      <w:pPr>
        <w:spacing w:line="288" w:lineRule="auto"/>
        <w:outlineLvl w:val="0"/>
        <w:rPr>
          <w:b/>
        </w:rPr>
      </w:pPr>
      <w:bookmarkStart w:id="2" w:name="Section4"/>
      <w:bookmarkEnd w:id="2"/>
      <w:r>
        <w:rPr>
          <w:b/>
        </w:rPr>
        <w:t>Section 3 – Exhibits</w:t>
      </w:r>
    </w:p>
    <w:p w14:paraId="1D59E3EF" w14:textId="77777777" w:rsidR="00F138EB" w:rsidRDefault="00F138EB">
      <w:pPr>
        <w:spacing w:line="288" w:lineRule="auto"/>
        <w:rPr>
          <w:sz w:val="20"/>
        </w:rPr>
      </w:pPr>
    </w:p>
    <w:p w14:paraId="1C89FFCC" w14:textId="77777777" w:rsidR="00F138EB" w:rsidRDefault="007F7810">
      <w:pPr>
        <w:spacing w:line="288" w:lineRule="auto"/>
        <w:jc w:val="both"/>
        <w:rPr>
          <w:b/>
        </w:rPr>
      </w:pPr>
      <w:r>
        <w:rPr>
          <w:b/>
        </w:rPr>
        <w:t>Item 3.01 Exhibits</w:t>
      </w:r>
    </w:p>
    <w:p w14:paraId="752702E2" w14:textId="77777777" w:rsidR="00F138EB" w:rsidRDefault="00F138EB">
      <w:pPr>
        <w:spacing w:line="288" w:lineRule="auto"/>
        <w:jc w:val="both"/>
        <w:rPr>
          <w:sz w:val="20"/>
        </w:rPr>
      </w:pPr>
    </w:p>
    <w:p w14:paraId="74A686C5" w14:textId="49B99539" w:rsidR="00F138EB" w:rsidRDefault="007F7810">
      <w:pPr>
        <w:spacing w:line="288" w:lineRule="auto"/>
        <w:ind w:firstLine="180"/>
        <w:jc w:val="both"/>
        <w:rPr>
          <w:b/>
        </w:rPr>
      </w:pPr>
      <w:r>
        <w:t xml:space="preserve">Exhibit 1.01 – </w:t>
      </w:r>
      <w:r>
        <w:rPr>
          <w:color w:val="0000FF"/>
          <w:u w:val="single"/>
        </w:rPr>
        <w:t xml:space="preserve">Conflict Minerals Report </w:t>
      </w:r>
      <w:r>
        <w:t xml:space="preserve"> </w:t>
      </w:r>
    </w:p>
    <w:p w14:paraId="338D1859" w14:textId="77777777" w:rsidR="00F138EB" w:rsidRDefault="00F138EB">
      <w:pPr>
        <w:spacing w:line="418" w:lineRule="auto"/>
        <w:jc w:val="both"/>
        <w:rPr>
          <w:sz w:val="20"/>
        </w:rPr>
      </w:pPr>
    </w:p>
    <w:p w14:paraId="46EBCDA5" w14:textId="77777777" w:rsidR="00F138EB" w:rsidRDefault="007F7810">
      <w:pPr>
        <w:spacing w:line="418" w:lineRule="auto"/>
        <w:jc w:val="center"/>
      </w:pPr>
      <w:r>
        <w:t>*  *  *  *  *  *  *</w:t>
      </w:r>
    </w:p>
    <w:p w14:paraId="5F3D1F70" w14:textId="77777777" w:rsidR="00F138EB" w:rsidRDefault="00F138EB">
      <w:pPr>
        <w:spacing w:line="288" w:lineRule="auto"/>
        <w:rPr>
          <w:sz w:val="20"/>
        </w:rPr>
      </w:pPr>
    </w:p>
    <w:p w14:paraId="46EBE620" w14:textId="77777777" w:rsidR="00F138EB" w:rsidRDefault="00F138EB">
      <w:pPr>
        <w:spacing w:line="288" w:lineRule="auto"/>
        <w:rPr>
          <w:sz w:val="20"/>
        </w:rPr>
      </w:pPr>
    </w:p>
    <w:p w14:paraId="62E83CAE" w14:textId="77777777" w:rsidR="00F138EB" w:rsidRDefault="00F138EB">
      <w:pPr>
        <w:spacing w:line="288" w:lineRule="auto"/>
        <w:rPr>
          <w:sz w:val="20"/>
        </w:rPr>
      </w:pPr>
    </w:p>
    <w:p w14:paraId="026CBE00" w14:textId="77777777" w:rsidR="00F138EB" w:rsidRDefault="00F138EB">
      <w:pPr>
        <w:spacing w:line="288" w:lineRule="auto"/>
        <w:rPr>
          <w:sz w:val="20"/>
        </w:rPr>
      </w:pPr>
    </w:p>
    <w:p w14:paraId="20C1B0DC" w14:textId="77777777" w:rsidR="00F138EB" w:rsidRDefault="00F138EB">
      <w:pPr>
        <w:spacing w:line="288" w:lineRule="auto"/>
        <w:rPr>
          <w:sz w:val="20"/>
        </w:rPr>
      </w:pPr>
    </w:p>
    <w:p w14:paraId="41AABDDE" w14:textId="77777777" w:rsidR="00F138EB" w:rsidRDefault="00F138EB">
      <w:pPr>
        <w:spacing w:line="288" w:lineRule="auto"/>
        <w:rPr>
          <w:sz w:val="20"/>
        </w:rPr>
      </w:pPr>
    </w:p>
    <w:p w14:paraId="4E42C53D" w14:textId="77777777" w:rsidR="00F138EB" w:rsidRDefault="00F138EB">
      <w:pPr>
        <w:spacing w:line="288" w:lineRule="auto"/>
        <w:rPr>
          <w:sz w:val="20"/>
        </w:rPr>
      </w:pPr>
    </w:p>
    <w:p w14:paraId="72959BF6" w14:textId="77777777" w:rsidR="00F138EB" w:rsidRDefault="00F138EB">
      <w:pPr>
        <w:spacing w:line="288" w:lineRule="auto"/>
        <w:rPr>
          <w:sz w:val="20"/>
        </w:rPr>
      </w:pPr>
    </w:p>
    <w:p w14:paraId="708D0E4C" w14:textId="77777777" w:rsidR="00F138EB" w:rsidRDefault="00F138EB">
      <w:pPr>
        <w:spacing w:line="288" w:lineRule="auto"/>
        <w:rPr>
          <w:sz w:val="20"/>
        </w:rPr>
      </w:pPr>
    </w:p>
    <w:p w14:paraId="6E6A6308" w14:textId="77777777" w:rsidR="00F138EB" w:rsidRDefault="00F138EB">
      <w:pPr>
        <w:spacing w:line="288" w:lineRule="auto"/>
        <w:rPr>
          <w:sz w:val="20"/>
        </w:rPr>
      </w:pPr>
    </w:p>
    <w:p w14:paraId="026619A1" w14:textId="77777777" w:rsidR="00F138EB" w:rsidRDefault="00F138EB">
      <w:pPr>
        <w:spacing w:line="288" w:lineRule="auto"/>
        <w:rPr>
          <w:sz w:val="20"/>
        </w:rPr>
      </w:pPr>
    </w:p>
    <w:p w14:paraId="21F1E25F" w14:textId="77777777" w:rsidR="00F138EB" w:rsidRDefault="00F138EB">
      <w:pPr>
        <w:spacing w:line="288" w:lineRule="auto"/>
        <w:rPr>
          <w:sz w:val="20"/>
        </w:rPr>
      </w:pPr>
    </w:p>
    <w:p w14:paraId="578628C9" w14:textId="77777777" w:rsidR="00F138EB" w:rsidRDefault="00F138EB">
      <w:pPr>
        <w:spacing w:line="288" w:lineRule="auto"/>
        <w:rPr>
          <w:sz w:val="20"/>
        </w:rPr>
      </w:pPr>
    </w:p>
    <w:p w14:paraId="50D7826E" w14:textId="77777777" w:rsidR="00F138EB" w:rsidRDefault="00F138EB">
      <w:pPr>
        <w:spacing w:line="288" w:lineRule="auto"/>
        <w:rPr>
          <w:sz w:val="20"/>
        </w:rPr>
      </w:pPr>
    </w:p>
    <w:p w14:paraId="76B3A6E0" w14:textId="77777777" w:rsidR="00F138EB" w:rsidRDefault="00F138EB">
      <w:pPr>
        <w:spacing w:line="288" w:lineRule="auto"/>
        <w:rPr>
          <w:sz w:val="20"/>
        </w:rPr>
      </w:pPr>
    </w:p>
    <w:p w14:paraId="6515D54F" w14:textId="77777777" w:rsidR="00F138EB" w:rsidRDefault="00F138EB">
      <w:pPr>
        <w:spacing w:line="288" w:lineRule="auto"/>
        <w:rPr>
          <w:sz w:val="20"/>
        </w:rPr>
      </w:pPr>
    </w:p>
    <w:p w14:paraId="11A5344F" w14:textId="77777777" w:rsidR="00F138EB" w:rsidRDefault="00F138EB">
      <w:pPr>
        <w:spacing w:line="288" w:lineRule="auto"/>
        <w:rPr>
          <w:sz w:val="20"/>
        </w:rPr>
      </w:pPr>
    </w:p>
    <w:p w14:paraId="09D470CD" w14:textId="77777777" w:rsidR="00F138EB" w:rsidRDefault="00F138EB">
      <w:pPr>
        <w:spacing w:line="288" w:lineRule="auto"/>
        <w:rPr>
          <w:sz w:val="20"/>
        </w:rPr>
      </w:pPr>
    </w:p>
    <w:p w14:paraId="35F8217E" w14:textId="77777777" w:rsidR="00F138EB" w:rsidRDefault="00F138EB">
      <w:pPr>
        <w:spacing w:line="288" w:lineRule="auto"/>
        <w:rPr>
          <w:sz w:val="20"/>
        </w:rPr>
      </w:pPr>
    </w:p>
    <w:p w14:paraId="0B29C162" w14:textId="77777777" w:rsidR="00F138EB" w:rsidRDefault="00F138EB">
      <w:pPr>
        <w:spacing w:line="288" w:lineRule="auto"/>
        <w:sectPr w:rsidR="00F138EB">
          <w:type w:val="continuous"/>
          <w:pgSz w:w="12240" w:h="15840"/>
          <w:pgMar w:top="855" w:right="540" w:bottom="855" w:left="540" w:header="270" w:footer="270" w:gutter="0"/>
          <w:cols w:space="708"/>
        </w:sectPr>
      </w:pPr>
    </w:p>
    <w:p w14:paraId="5BEC8193" w14:textId="77777777" w:rsidR="00F138EB" w:rsidRDefault="007F7810">
      <w:pPr>
        <w:spacing w:line="418" w:lineRule="auto"/>
        <w:jc w:val="center"/>
        <w:outlineLvl w:val="0"/>
        <w:rPr>
          <w:b/>
        </w:rPr>
      </w:pPr>
      <w:bookmarkStart w:id="3" w:name="Section5"/>
      <w:bookmarkEnd w:id="3"/>
      <w:r>
        <w:rPr>
          <w:b/>
        </w:rPr>
        <w:lastRenderedPageBreak/>
        <w:t>SIGNATURE</w:t>
      </w:r>
    </w:p>
    <w:p w14:paraId="1B33CE5B" w14:textId="77777777" w:rsidR="00F138EB" w:rsidRDefault="00F138EB">
      <w:pPr>
        <w:spacing w:line="418" w:lineRule="auto"/>
        <w:ind w:firstLine="180"/>
        <w:jc w:val="both"/>
      </w:pPr>
    </w:p>
    <w:p w14:paraId="2D802664" w14:textId="77777777" w:rsidR="00F138EB" w:rsidRDefault="007F7810">
      <w:pPr>
        <w:spacing w:line="418" w:lineRule="auto"/>
        <w:ind w:firstLine="180"/>
        <w:jc w:val="both"/>
      </w:pPr>
      <w:r>
        <w:t>Pursuant to the requirements of the Securities Exchange Act of 1934, the registrant has duly caused this report to be signed on its behalf by the duly authorized undersigned.</w:t>
      </w:r>
    </w:p>
    <w:p w14:paraId="284DA00C" w14:textId="77777777" w:rsidR="00F138EB" w:rsidRDefault="00F138EB">
      <w:pPr>
        <w:spacing w:line="288" w:lineRule="auto"/>
        <w:ind w:firstLine="180"/>
        <w:jc w:val="both"/>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920"/>
        <w:gridCol w:w="465"/>
        <w:gridCol w:w="4875"/>
      </w:tblGrid>
      <w:tr w:rsidR="00F138EB" w14:paraId="241104D5" w14:textId="77777777">
        <w:trPr>
          <w:cantSplit/>
          <w:trHeight w:hRule="exact" w:val="645"/>
          <w:jc w:val="center"/>
        </w:trPr>
        <w:tc>
          <w:tcPr>
            <w:tcW w:w="5385" w:type="dxa"/>
            <w:gridSpan w:val="2"/>
            <w:tcBorders>
              <w:top w:val="nil"/>
              <w:left w:val="nil"/>
              <w:bottom w:val="nil"/>
              <w:right w:val="nil"/>
            </w:tcBorders>
            <w:tcMar>
              <w:top w:w="0" w:type="dxa"/>
              <w:left w:w="53" w:type="dxa"/>
              <w:bottom w:w="0" w:type="dxa"/>
              <w:right w:w="53" w:type="dxa"/>
            </w:tcMar>
            <w:vAlign w:val="bottom"/>
          </w:tcPr>
          <w:p w14:paraId="4501BE68" w14:textId="77777777" w:rsidR="00F138EB" w:rsidRDefault="007F7810">
            <w:pPr>
              <w:keepNext/>
              <w:spacing w:before="75" w:line="288" w:lineRule="auto"/>
            </w:pPr>
            <w:r>
              <w:rPr>
                <w:u w:val="single"/>
              </w:rPr>
              <w:t>GENERAL MOTORS COMPANY</w:t>
            </w:r>
          </w:p>
          <w:p w14:paraId="6EF271A6" w14:textId="77777777" w:rsidR="00F138EB" w:rsidRDefault="007F7810">
            <w:pPr>
              <w:spacing w:after="30" w:line="288" w:lineRule="auto"/>
            </w:pPr>
            <w:r>
              <w:t>(Registrant)</w:t>
            </w:r>
          </w:p>
        </w:tc>
        <w:tc>
          <w:tcPr>
            <w:tcW w:w="465" w:type="dxa"/>
            <w:tcBorders>
              <w:top w:val="nil"/>
              <w:left w:val="nil"/>
              <w:bottom w:val="nil"/>
              <w:right w:val="nil"/>
            </w:tcBorders>
            <w:tcMar>
              <w:top w:w="0" w:type="dxa"/>
              <w:left w:w="0" w:type="dxa"/>
              <w:bottom w:w="0" w:type="dxa"/>
              <w:right w:w="0" w:type="dxa"/>
            </w:tcMar>
            <w:vAlign w:val="bottom"/>
          </w:tcPr>
          <w:p w14:paraId="65FECD49" w14:textId="77777777" w:rsidR="00F138EB" w:rsidRDefault="00F138EB">
            <w:pPr>
              <w:keepNext/>
            </w:pPr>
          </w:p>
        </w:tc>
        <w:tc>
          <w:tcPr>
            <w:tcW w:w="4875" w:type="dxa"/>
            <w:tcBorders>
              <w:top w:val="nil"/>
              <w:left w:val="nil"/>
              <w:bottom w:val="nil"/>
              <w:right w:val="nil"/>
            </w:tcBorders>
            <w:tcMar>
              <w:top w:w="0" w:type="dxa"/>
              <w:left w:w="53" w:type="dxa"/>
              <w:bottom w:w="0" w:type="dxa"/>
              <w:right w:w="53" w:type="dxa"/>
            </w:tcMar>
            <w:vAlign w:val="bottom"/>
          </w:tcPr>
          <w:p w14:paraId="7B165D95" w14:textId="77777777" w:rsidR="00F138EB" w:rsidRDefault="00F138EB">
            <w:pPr>
              <w:keepNext/>
              <w:spacing w:before="75" w:after="30"/>
            </w:pPr>
          </w:p>
        </w:tc>
      </w:tr>
      <w:tr w:rsidR="00F138EB" w14:paraId="5C01C3F4" w14:textId="77777777">
        <w:trPr>
          <w:cantSplit/>
          <w:trHeight w:hRule="exact" w:val="285"/>
          <w:jc w:val="center"/>
        </w:trPr>
        <w:tc>
          <w:tcPr>
            <w:tcW w:w="465" w:type="dxa"/>
            <w:tcBorders>
              <w:top w:val="nil"/>
              <w:left w:val="nil"/>
              <w:bottom w:val="nil"/>
              <w:right w:val="nil"/>
            </w:tcBorders>
            <w:tcMar>
              <w:top w:w="0" w:type="dxa"/>
              <w:left w:w="0" w:type="dxa"/>
              <w:bottom w:w="0" w:type="dxa"/>
              <w:right w:w="0" w:type="dxa"/>
            </w:tcMar>
            <w:vAlign w:val="bottom"/>
          </w:tcPr>
          <w:p w14:paraId="3BF321D7" w14:textId="77777777" w:rsidR="00F138EB" w:rsidRDefault="00F138EB">
            <w:pPr>
              <w:keepNext/>
            </w:pPr>
          </w:p>
        </w:tc>
        <w:tc>
          <w:tcPr>
            <w:tcW w:w="10260" w:type="dxa"/>
            <w:gridSpan w:val="3"/>
            <w:tcBorders>
              <w:top w:val="nil"/>
              <w:left w:val="nil"/>
              <w:bottom w:val="nil"/>
              <w:right w:val="nil"/>
            </w:tcBorders>
            <w:tcMar>
              <w:top w:w="0" w:type="dxa"/>
              <w:left w:w="0" w:type="dxa"/>
              <w:bottom w:w="0" w:type="dxa"/>
              <w:right w:w="0" w:type="dxa"/>
            </w:tcMar>
            <w:vAlign w:val="bottom"/>
          </w:tcPr>
          <w:p w14:paraId="7966135D" w14:textId="77777777" w:rsidR="00F138EB" w:rsidRDefault="00F138EB">
            <w:pPr>
              <w:keepNext/>
            </w:pPr>
          </w:p>
        </w:tc>
      </w:tr>
      <w:tr w:rsidR="00F138EB" w14:paraId="73123E5C" w14:textId="77777777">
        <w:trPr>
          <w:cantSplit/>
          <w:trHeight w:hRule="exact" w:val="300"/>
          <w:jc w:val="center"/>
        </w:trPr>
        <w:tc>
          <w:tcPr>
            <w:tcW w:w="465" w:type="dxa"/>
            <w:tcBorders>
              <w:top w:val="nil"/>
              <w:left w:val="nil"/>
              <w:bottom w:val="nil"/>
              <w:right w:val="nil"/>
            </w:tcBorders>
            <w:tcMar>
              <w:top w:w="0" w:type="dxa"/>
              <w:left w:w="0" w:type="dxa"/>
              <w:bottom w:w="0" w:type="dxa"/>
              <w:right w:w="0" w:type="dxa"/>
            </w:tcMar>
            <w:vAlign w:val="bottom"/>
          </w:tcPr>
          <w:p w14:paraId="4AC75A81" w14:textId="77777777" w:rsidR="00F138EB" w:rsidRDefault="00F138EB">
            <w:pPr>
              <w:keepNext/>
            </w:pPr>
          </w:p>
        </w:tc>
        <w:tc>
          <w:tcPr>
            <w:tcW w:w="4920" w:type="dxa"/>
            <w:tcBorders>
              <w:top w:val="nil"/>
              <w:left w:val="nil"/>
              <w:bottom w:val="single" w:sz="8" w:space="0" w:color="000000"/>
              <w:right w:val="nil"/>
            </w:tcBorders>
            <w:tcMar>
              <w:top w:w="0" w:type="dxa"/>
              <w:left w:w="53" w:type="dxa"/>
              <w:bottom w:w="0" w:type="dxa"/>
              <w:right w:w="53" w:type="dxa"/>
            </w:tcMar>
            <w:vAlign w:val="bottom"/>
          </w:tcPr>
          <w:p w14:paraId="5CE7F229" w14:textId="77777777" w:rsidR="00F138EB" w:rsidRDefault="007F7810">
            <w:pPr>
              <w:keepNext/>
              <w:spacing w:before="75" w:after="30"/>
            </w:pPr>
            <w:r>
              <w:rPr>
                <w:color w:val="000000"/>
              </w:rPr>
              <w:t>/s/  Doug L. Parks</w:t>
            </w:r>
          </w:p>
        </w:tc>
        <w:tc>
          <w:tcPr>
            <w:tcW w:w="465" w:type="dxa"/>
            <w:tcBorders>
              <w:top w:val="nil"/>
              <w:left w:val="nil"/>
              <w:bottom w:val="nil"/>
              <w:right w:val="nil"/>
            </w:tcBorders>
            <w:tcMar>
              <w:top w:w="0" w:type="dxa"/>
              <w:left w:w="0" w:type="dxa"/>
              <w:bottom w:w="0" w:type="dxa"/>
              <w:right w:w="0" w:type="dxa"/>
            </w:tcMar>
            <w:vAlign w:val="bottom"/>
          </w:tcPr>
          <w:p w14:paraId="4941ECEE" w14:textId="77777777" w:rsidR="00F138EB" w:rsidRDefault="00F138EB">
            <w:pPr>
              <w:keepNext/>
            </w:pPr>
          </w:p>
        </w:tc>
        <w:tc>
          <w:tcPr>
            <w:tcW w:w="4875" w:type="dxa"/>
            <w:tcBorders>
              <w:top w:val="nil"/>
              <w:left w:val="nil"/>
              <w:bottom w:val="nil"/>
              <w:right w:val="nil"/>
            </w:tcBorders>
            <w:tcMar>
              <w:top w:w="0" w:type="dxa"/>
              <w:left w:w="53" w:type="dxa"/>
              <w:bottom w:w="0" w:type="dxa"/>
              <w:right w:w="53" w:type="dxa"/>
            </w:tcMar>
          </w:tcPr>
          <w:p w14:paraId="012B3EBB" w14:textId="77777777" w:rsidR="00F138EB" w:rsidRDefault="007F7810">
            <w:pPr>
              <w:keepNext/>
              <w:spacing w:before="75" w:after="30"/>
            </w:pPr>
            <w:r>
              <w:rPr>
                <w:color w:val="000000"/>
              </w:rPr>
              <w:t>Date: May 31, 2022</w:t>
            </w:r>
          </w:p>
        </w:tc>
      </w:tr>
      <w:tr w:rsidR="00F138EB" w14:paraId="14805BC0" w14:textId="77777777">
        <w:trPr>
          <w:cantSplit/>
          <w:trHeight w:hRule="exact" w:val="780"/>
          <w:jc w:val="center"/>
        </w:trPr>
        <w:tc>
          <w:tcPr>
            <w:tcW w:w="465" w:type="dxa"/>
            <w:tcBorders>
              <w:top w:val="nil"/>
              <w:left w:val="nil"/>
              <w:bottom w:val="nil"/>
              <w:right w:val="nil"/>
            </w:tcBorders>
            <w:tcMar>
              <w:top w:w="0" w:type="dxa"/>
              <w:left w:w="53" w:type="dxa"/>
              <w:bottom w:w="0" w:type="dxa"/>
              <w:right w:w="53" w:type="dxa"/>
            </w:tcMar>
          </w:tcPr>
          <w:p w14:paraId="1DEF32A1" w14:textId="77777777" w:rsidR="00F138EB" w:rsidRDefault="007F7810">
            <w:pPr>
              <w:spacing w:before="55" w:after="30"/>
            </w:pPr>
            <w:r>
              <w:rPr>
                <w:color w:val="000000"/>
              </w:rPr>
              <w:t>By:</w:t>
            </w:r>
          </w:p>
        </w:tc>
        <w:tc>
          <w:tcPr>
            <w:tcW w:w="4920" w:type="dxa"/>
            <w:tcBorders>
              <w:top w:val="single" w:sz="8" w:space="0" w:color="000000"/>
              <w:left w:val="nil"/>
              <w:bottom w:val="nil"/>
              <w:right w:val="nil"/>
            </w:tcBorders>
            <w:tcMar>
              <w:top w:w="0" w:type="dxa"/>
              <w:left w:w="53" w:type="dxa"/>
              <w:bottom w:w="0" w:type="dxa"/>
              <w:right w:w="53" w:type="dxa"/>
            </w:tcMar>
          </w:tcPr>
          <w:p w14:paraId="7C761C62" w14:textId="77777777" w:rsidR="00F138EB" w:rsidRDefault="007F7810">
            <w:pPr>
              <w:spacing w:before="55" w:after="30"/>
            </w:pPr>
            <w:r>
              <w:t>Doug L. Parks, Executive Vice President, Global Product Development, Purchasing and Supply Chain</w:t>
            </w:r>
          </w:p>
        </w:tc>
        <w:tc>
          <w:tcPr>
            <w:tcW w:w="465" w:type="dxa"/>
            <w:tcBorders>
              <w:top w:val="nil"/>
              <w:left w:val="nil"/>
              <w:bottom w:val="nil"/>
              <w:right w:val="nil"/>
            </w:tcBorders>
            <w:tcMar>
              <w:top w:w="0" w:type="dxa"/>
              <w:left w:w="53" w:type="dxa"/>
              <w:bottom w:w="0" w:type="dxa"/>
              <w:right w:w="53" w:type="dxa"/>
            </w:tcMar>
          </w:tcPr>
          <w:p w14:paraId="5A2BC9E5" w14:textId="77777777" w:rsidR="00F138EB" w:rsidRDefault="00F138EB">
            <w:pPr>
              <w:spacing w:before="55" w:after="30"/>
            </w:pPr>
          </w:p>
        </w:tc>
        <w:tc>
          <w:tcPr>
            <w:tcW w:w="4875" w:type="dxa"/>
            <w:tcBorders>
              <w:top w:val="nil"/>
              <w:left w:val="nil"/>
              <w:bottom w:val="nil"/>
              <w:right w:val="nil"/>
            </w:tcBorders>
            <w:tcMar>
              <w:top w:w="0" w:type="dxa"/>
              <w:left w:w="53" w:type="dxa"/>
              <w:bottom w:w="0" w:type="dxa"/>
              <w:right w:w="53" w:type="dxa"/>
            </w:tcMar>
          </w:tcPr>
          <w:p w14:paraId="5CED3E6A" w14:textId="77777777" w:rsidR="00F138EB" w:rsidRDefault="00F138EB">
            <w:pPr>
              <w:spacing w:before="55" w:after="30"/>
              <w:jc w:val="center"/>
            </w:pPr>
          </w:p>
        </w:tc>
      </w:tr>
    </w:tbl>
    <w:p w14:paraId="1B4C962A" w14:textId="465537F9" w:rsidR="00F138EB" w:rsidRDefault="00F138EB">
      <w:pPr>
        <w:spacing w:before="40" w:line="288" w:lineRule="auto"/>
        <w:rPr>
          <w:sz w:val="20"/>
        </w:rPr>
      </w:pPr>
    </w:p>
    <w:p w14:paraId="4E5131E2" w14:textId="1BF3908F" w:rsidR="00303994" w:rsidRDefault="00303994">
      <w:pPr>
        <w:spacing w:before="40" w:line="288" w:lineRule="auto"/>
        <w:rPr>
          <w:sz w:val="20"/>
        </w:rPr>
      </w:pPr>
    </w:p>
    <w:p w14:paraId="69FD6F2D" w14:textId="3A9EF826" w:rsidR="00303994" w:rsidRDefault="00303994">
      <w:pPr>
        <w:spacing w:before="40" w:line="288" w:lineRule="auto"/>
        <w:rPr>
          <w:sz w:val="20"/>
        </w:rPr>
      </w:pPr>
    </w:p>
    <w:p w14:paraId="7FA2ABBB" w14:textId="1EA334A6" w:rsidR="00303994" w:rsidRDefault="00303994">
      <w:pPr>
        <w:spacing w:before="40" w:line="288" w:lineRule="auto"/>
        <w:rPr>
          <w:sz w:val="20"/>
        </w:rPr>
      </w:pPr>
    </w:p>
    <w:p w14:paraId="762786C3" w14:textId="6569EB76" w:rsidR="00303994" w:rsidRDefault="00303994">
      <w:pPr>
        <w:spacing w:before="40" w:line="288" w:lineRule="auto"/>
        <w:rPr>
          <w:sz w:val="20"/>
        </w:rPr>
      </w:pPr>
    </w:p>
    <w:p w14:paraId="2B7AFB30" w14:textId="28033ACE" w:rsidR="00303994" w:rsidRDefault="00303994">
      <w:pPr>
        <w:spacing w:before="40" w:line="288" w:lineRule="auto"/>
        <w:rPr>
          <w:sz w:val="20"/>
        </w:rPr>
      </w:pPr>
    </w:p>
    <w:p w14:paraId="1EF3A690" w14:textId="04499EDC" w:rsidR="00303994" w:rsidRDefault="00303994">
      <w:pPr>
        <w:spacing w:before="40" w:line="288" w:lineRule="auto"/>
        <w:rPr>
          <w:sz w:val="20"/>
        </w:rPr>
      </w:pPr>
    </w:p>
    <w:p w14:paraId="17600869" w14:textId="5A2F573F" w:rsidR="00303994" w:rsidRDefault="00303994">
      <w:pPr>
        <w:spacing w:before="40" w:line="288" w:lineRule="auto"/>
        <w:rPr>
          <w:sz w:val="20"/>
        </w:rPr>
      </w:pPr>
    </w:p>
    <w:p w14:paraId="6532E114" w14:textId="6BF1AA42" w:rsidR="00303994" w:rsidRDefault="00303994">
      <w:pPr>
        <w:spacing w:before="40" w:line="288" w:lineRule="auto"/>
        <w:rPr>
          <w:sz w:val="20"/>
        </w:rPr>
      </w:pPr>
    </w:p>
    <w:p w14:paraId="311D98B1" w14:textId="57779BBC" w:rsidR="00303994" w:rsidRDefault="00303994">
      <w:pPr>
        <w:spacing w:before="40" w:line="288" w:lineRule="auto"/>
        <w:rPr>
          <w:sz w:val="20"/>
        </w:rPr>
      </w:pPr>
    </w:p>
    <w:p w14:paraId="229E688B" w14:textId="321D6FE4" w:rsidR="00303994" w:rsidRDefault="00303994">
      <w:pPr>
        <w:spacing w:before="40" w:line="288" w:lineRule="auto"/>
        <w:rPr>
          <w:sz w:val="20"/>
        </w:rPr>
      </w:pPr>
    </w:p>
    <w:p w14:paraId="2E5A5E0A" w14:textId="5BD661CD" w:rsidR="00303994" w:rsidRDefault="00303994">
      <w:pPr>
        <w:spacing w:before="40" w:line="288" w:lineRule="auto"/>
        <w:rPr>
          <w:sz w:val="20"/>
        </w:rPr>
      </w:pPr>
    </w:p>
    <w:p w14:paraId="4A72C9D7" w14:textId="30B62B2D" w:rsidR="00303994" w:rsidRDefault="00303994">
      <w:pPr>
        <w:spacing w:before="40" w:line="288" w:lineRule="auto"/>
        <w:rPr>
          <w:sz w:val="20"/>
        </w:rPr>
      </w:pPr>
    </w:p>
    <w:p w14:paraId="57A330AB" w14:textId="2A8EE95D" w:rsidR="00303994" w:rsidRDefault="00303994">
      <w:pPr>
        <w:spacing w:before="40" w:line="288" w:lineRule="auto"/>
        <w:rPr>
          <w:sz w:val="20"/>
        </w:rPr>
      </w:pPr>
    </w:p>
    <w:p w14:paraId="479B5513" w14:textId="2D1B8DE6" w:rsidR="00303994" w:rsidRDefault="00303994">
      <w:pPr>
        <w:spacing w:before="40" w:line="288" w:lineRule="auto"/>
        <w:rPr>
          <w:sz w:val="20"/>
        </w:rPr>
      </w:pPr>
    </w:p>
    <w:p w14:paraId="151F7BC9" w14:textId="73DC8F94" w:rsidR="00303994" w:rsidRDefault="00303994">
      <w:pPr>
        <w:spacing w:before="40" w:line="288" w:lineRule="auto"/>
        <w:rPr>
          <w:sz w:val="20"/>
        </w:rPr>
      </w:pPr>
    </w:p>
    <w:p w14:paraId="6F7D1E7E" w14:textId="2E07C02F" w:rsidR="00303994" w:rsidRDefault="00303994">
      <w:pPr>
        <w:spacing w:before="40" w:line="288" w:lineRule="auto"/>
        <w:rPr>
          <w:sz w:val="20"/>
        </w:rPr>
      </w:pPr>
    </w:p>
    <w:p w14:paraId="7A64A104" w14:textId="0181FD69" w:rsidR="00303994" w:rsidRDefault="00303994">
      <w:pPr>
        <w:spacing w:before="40" w:line="288" w:lineRule="auto"/>
        <w:rPr>
          <w:sz w:val="20"/>
        </w:rPr>
      </w:pPr>
    </w:p>
    <w:p w14:paraId="72E3486F" w14:textId="145EB95F" w:rsidR="00303994" w:rsidRDefault="00303994">
      <w:pPr>
        <w:spacing w:before="40" w:line="288" w:lineRule="auto"/>
        <w:rPr>
          <w:sz w:val="20"/>
        </w:rPr>
      </w:pPr>
    </w:p>
    <w:p w14:paraId="10FA37DF" w14:textId="6A3E2EFD" w:rsidR="00303994" w:rsidRDefault="00303994">
      <w:pPr>
        <w:spacing w:before="40" w:line="288" w:lineRule="auto"/>
        <w:rPr>
          <w:sz w:val="20"/>
        </w:rPr>
      </w:pPr>
    </w:p>
    <w:p w14:paraId="6E9D9CF7" w14:textId="2F9B8FA4" w:rsidR="00303994" w:rsidRDefault="00303994">
      <w:pPr>
        <w:spacing w:before="40" w:line="288" w:lineRule="auto"/>
        <w:rPr>
          <w:sz w:val="20"/>
        </w:rPr>
      </w:pPr>
    </w:p>
    <w:p w14:paraId="7DE24D3B" w14:textId="6DB9DBA6" w:rsidR="00303994" w:rsidRDefault="00303994">
      <w:pPr>
        <w:spacing w:before="40" w:line="288" w:lineRule="auto"/>
        <w:rPr>
          <w:sz w:val="20"/>
        </w:rPr>
      </w:pPr>
    </w:p>
    <w:p w14:paraId="0E2C5C07" w14:textId="56D34199" w:rsidR="00303994" w:rsidRDefault="00303994">
      <w:pPr>
        <w:spacing w:before="40" w:line="288" w:lineRule="auto"/>
        <w:rPr>
          <w:sz w:val="20"/>
        </w:rPr>
      </w:pPr>
    </w:p>
    <w:p w14:paraId="0188683F" w14:textId="6913EE4F" w:rsidR="00303994" w:rsidRDefault="00303994">
      <w:pPr>
        <w:spacing w:before="40" w:line="288" w:lineRule="auto"/>
        <w:rPr>
          <w:sz w:val="20"/>
        </w:rPr>
      </w:pPr>
    </w:p>
    <w:p w14:paraId="3CAA3A19" w14:textId="69839783" w:rsidR="00303994" w:rsidRDefault="00303994">
      <w:pPr>
        <w:spacing w:before="40" w:line="288" w:lineRule="auto"/>
        <w:rPr>
          <w:sz w:val="20"/>
        </w:rPr>
      </w:pPr>
    </w:p>
    <w:p w14:paraId="785872E6" w14:textId="743CDA7C" w:rsidR="00303994" w:rsidRDefault="00303994">
      <w:pPr>
        <w:spacing w:before="40" w:line="288" w:lineRule="auto"/>
        <w:rPr>
          <w:sz w:val="20"/>
        </w:rPr>
      </w:pPr>
    </w:p>
    <w:p w14:paraId="5D96CDD7" w14:textId="7D63A89D" w:rsidR="00303994" w:rsidRDefault="00303994">
      <w:pPr>
        <w:spacing w:before="40" w:line="288" w:lineRule="auto"/>
        <w:rPr>
          <w:sz w:val="20"/>
        </w:rPr>
      </w:pPr>
    </w:p>
    <w:p w14:paraId="7348845F" w14:textId="400B1BBC" w:rsidR="00303994" w:rsidRDefault="00303994">
      <w:pPr>
        <w:spacing w:before="40" w:line="288" w:lineRule="auto"/>
        <w:rPr>
          <w:sz w:val="20"/>
        </w:rPr>
      </w:pPr>
    </w:p>
    <w:p w14:paraId="0533D271" w14:textId="301CF60B" w:rsidR="00303994" w:rsidRDefault="00303994">
      <w:pPr>
        <w:spacing w:before="40" w:line="288" w:lineRule="auto"/>
        <w:rPr>
          <w:sz w:val="20"/>
        </w:rPr>
      </w:pPr>
    </w:p>
    <w:p w14:paraId="6217D84A" w14:textId="47D175FC" w:rsidR="00303994" w:rsidRDefault="00303994">
      <w:pPr>
        <w:spacing w:before="40" w:line="288" w:lineRule="auto"/>
        <w:rPr>
          <w:sz w:val="20"/>
        </w:rPr>
      </w:pPr>
    </w:p>
    <w:p w14:paraId="49A81BFD" w14:textId="514691C6" w:rsidR="00303994" w:rsidRDefault="00303994">
      <w:pPr>
        <w:spacing w:before="40" w:line="288" w:lineRule="auto"/>
        <w:rPr>
          <w:sz w:val="20"/>
        </w:rPr>
      </w:pPr>
    </w:p>
    <w:p w14:paraId="1B53431B" w14:textId="6442250B" w:rsidR="00303994" w:rsidRDefault="00303994">
      <w:pPr>
        <w:spacing w:before="40" w:line="288" w:lineRule="auto"/>
        <w:rPr>
          <w:sz w:val="20"/>
        </w:rPr>
      </w:pPr>
    </w:p>
    <w:p w14:paraId="589406B7" w14:textId="41D26DA7" w:rsidR="00303994" w:rsidRDefault="00303994">
      <w:pPr>
        <w:spacing w:before="40" w:line="288" w:lineRule="auto"/>
        <w:rPr>
          <w:sz w:val="20"/>
        </w:rPr>
      </w:pPr>
    </w:p>
    <w:p w14:paraId="40C56AF9" w14:textId="70A59AFC" w:rsidR="00303994" w:rsidRDefault="00303994">
      <w:pPr>
        <w:spacing w:before="40" w:line="288" w:lineRule="auto"/>
        <w:rPr>
          <w:sz w:val="20"/>
        </w:rPr>
      </w:pPr>
    </w:p>
    <w:p w14:paraId="1C37AF28" w14:textId="1F4763E1" w:rsidR="00303994" w:rsidRDefault="00303994">
      <w:pPr>
        <w:spacing w:before="40" w:line="288" w:lineRule="auto"/>
        <w:rPr>
          <w:sz w:val="20"/>
        </w:rPr>
      </w:pPr>
    </w:p>
    <w:p w14:paraId="474E167C" w14:textId="77777777" w:rsidR="00303994" w:rsidRDefault="00303994" w:rsidP="00303994">
      <w:pPr>
        <w:rPr>
          <w:sz w:val="16"/>
        </w:rPr>
      </w:pPr>
      <w:bookmarkStart w:id="4" w:name="Section1"/>
      <w:bookmarkEnd w:id="4"/>
    </w:p>
    <w:p w14:paraId="19C17BF3" w14:textId="77777777" w:rsidR="00303994" w:rsidRDefault="00303994" w:rsidP="00303994">
      <w:pPr>
        <w:jc w:val="right"/>
        <w:outlineLvl w:val="0"/>
        <w:rPr>
          <w:sz w:val="20"/>
        </w:rPr>
      </w:pPr>
      <w:r>
        <w:rPr>
          <w:b/>
        </w:rPr>
        <w:lastRenderedPageBreak/>
        <w:t>Exhibit 1.01</w:t>
      </w:r>
    </w:p>
    <w:p w14:paraId="2EBCD825" w14:textId="77777777" w:rsidR="00303994" w:rsidRDefault="00303994" w:rsidP="00303994"/>
    <w:p w14:paraId="1DBCC621" w14:textId="77777777" w:rsidR="00303994" w:rsidRDefault="00303994" w:rsidP="00303994">
      <w:pPr>
        <w:jc w:val="center"/>
        <w:rPr>
          <w:sz w:val="20"/>
        </w:rPr>
      </w:pPr>
      <w:r>
        <w:rPr>
          <w:b/>
        </w:rPr>
        <w:t>Conflict Minerals Report</w:t>
      </w:r>
    </w:p>
    <w:p w14:paraId="6E09ACCA" w14:textId="77777777" w:rsidR="00303994" w:rsidRDefault="00303994" w:rsidP="00303994"/>
    <w:p w14:paraId="0436A232" w14:textId="77777777" w:rsidR="00303994" w:rsidRDefault="00303994" w:rsidP="00303994">
      <w:pPr>
        <w:jc w:val="both"/>
        <w:rPr>
          <w:sz w:val="20"/>
        </w:rPr>
      </w:pPr>
      <w:r>
        <w:t xml:space="preserve">     This Conflict Minerals Report (CMR) of General Motors Company is for calendar year 2021 in accordance with Rule 13p-1 under the Securities Exchange Act of 1934, as amended (SEC Rule). The SEC Rule was adopted by the Securities and Exchange Commission (SEC) to implement reporting requirements related to conflict minerals as directed by the Dodd-Frank Wall Street Reform and Consumer Protection Act of 2010 (Dodd-Frank Act). The SEC Rule imposes certain reporting obligations on SEC registrants whose manufactured products contain conflict minerals that are necessary to the functionality or production of said products. The SEC Rule defines conflict minerals as columbite-tantalite (coltan), cassiterite, gold, wolframite, or their derivatives, which are limited to tantalum, tin, and tungsten (3TG), and any other mineral or its derivatives determined by the U.S. Secretary of State to be financing conflict in the Democratic Republic of the Congo or an adjoining country (Covered Countries).</w:t>
      </w:r>
    </w:p>
    <w:p w14:paraId="3EF8FF5A" w14:textId="77777777" w:rsidR="00303994" w:rsidRDefault="00303994" w:rsidP="00303994">
      <w:pPr>
        <w:jc w:val="both"/>
      </w:pPr>
    </w:p>
    <w:p w14:paraId="7168F975" w14:textId="77777777" w:rsidR="00303994" w:rsidRDefault="00303994" w:rsidP="00303994">
      <w:pPr>
        <w:jc w:val="both"/>
        <w:rPr>
          <w:sz w:val="20"/>
        </w:rPr>
      </w:pPr>
      <w:r>
        <w:t xml:space="preserve">     In this CMR, references to General Motors, GM, our, us, or we refer to General Motors Company.</w:t>
      </w:r>
    </w:p>
    <w:p w14:paraId="6336EE92" w14:textId="77777777" w:rsidR="00303994" w:rsidRDefault="00303994" w:rsidP="00303994">
      <w:pPr>
        <w:spacing w:before="352"/>
        <w:rPr>
          <w:sz w:val="20"/>
        </w:rPr>
      </w:pPr>
      <w:r>
        <w:rPr>
          <w:b/>
        </w:rPr>
        <w:t>I.    Company and Supply Chain Overview</w:t>
      </w:r>
      <w:r>
        <w:t xml:space="preserve"> </w:t>
      </w:r>
    </w:p>
    <w:p w14:paraId="4D6B34A0" w14:textId="77777777" w:rsidR="00303994" w:rsidRDefault="00303994" w:rsidP="00303994">
      <w:pPr>
        <w:spacing w:before="352"/>
        <w:jc w:val="both"/>
        <w:rPr>
          <w:sz w:val="20"/>
        </w:rPr>
      </w:pPr>
      <w:r>
        <w:t xml:space="preserve">    We, through our direct and indirect subsidiaries, design, build, and sell trucks, crossovers, cars, and automobile parts worldwide. Our supply chain is a complex global network of tiered suppliers that directly or indirectly supply raw materials, components, and services to our global facilities. </w:t>
      </w:r>
    </w:p>
    <w:p w14:paraId="24CEB2F2" w14:textId="77777777" w:rsidR="00303994" w:rsidRDefault="00303994" w:rsidP="00303994">
      <w:pPr>
        <w:jc w:val="both"/>
      </w:pPr>
    </w:p>
    <w:p w14:paraId="28B3B912" w14:textId="77777777" w:rsidR="00303994" w:rsidRDefault="00303994" w:rsidP="00303994">
      <w:pPr>
        <w:jc w:val="both"/>
        <w:rPr>
          <w:sz w:val="20"/>
        </w:rPr>
      </w:pPr>
      <w:r>
        <w:t xml:space="preserve">     With respect to the 3TG in our products, generally there are multiple tiers of supplier manufacturers between the smelters or refiners (SORs) that process 3TG and the first-tier suppliers that deliver parts to us. We do not have a direct business relationship with any SORs of 3TG. We rely on the suppliers with whom we have direct contracts to provide information on the origin of, and the facilities used to process, the 3TG contained in the components and materials supplied to us.</w:t>
      </w:r>
    </w:p>
    <w:p w14:paraId="11CFA223" w14:textId="77777777" w:rsidR="00303994" w:rsidRDefault="00303994" w:rsidP="00303994">
      <w:pPr>
        <w:spacing w:before="352"/>
        <w:rPr>
          <w:sz w:val="20"/>
        </w:rPr>
      </w:pPr>
      <w:r>
        <w:rPr>
          <w:b/>
        </w:rPr>
        <w:t>II.    Reasonable Country of Origin Inquiry</w:t>
      </w:r>
    </w:p>
    <w:p w14:paraId="658BCDD6" w14:textId="77777777" w:rsidR="00303994" w:rsidRDefault="00303994" w:rsidP="00303994"/>
    <w:p w14:paraId="3F6482A1" w14:textId="77777777" w:rsidR="00303994" w:rsidRDefault="00303994" w:rsidP="00303994">
      <w:pPr>
        <w:jc w:val="both"/>
        <w:rPr>
          <w:sz w:val="20"/>
        </w:rPr>
      </w:pPr>
      <w:r>
        <w:t xml:space="preserve">     For our reasonable country of origin inquiry, we developed a targeted list of our first-tier suppliers of original equipment and aftermarket parts that we believe provide products that may contain 3TG which are necessary to the functionality and production of our product portfolio.  We identified these suppliers based on information in the International Material Data System (IMDS) and from information previously provided by suppliers regarding conflict minerals. From that list, we incorporated only those suppliers that shipped part(s) to GM during the 2021 calendar year. In addition, we also surveyed employees whose function may provide relevant information regarding the source of potential 3TG within our supply chain.   </w:t>
      </w:r>
    </w:p>
    <w:p w14:paraId="0DF425F2" w14:textId="77777777" w:rsidR="00303994" w:rsidRDefault="00303994" w:rsidP="00303994">
      <w:pPr>
        <w:ind w:firstLine="792"/>
        <w:jc w:val="both"/>
      </w:pPr>
    </w:p>
    <w:p w14:paraId="6A606504" w14:textId="77777777" w:rsidR="00303994" w:rsidRDefault="00303994" w:rsidP="00303994">
      <w:pPr>
        <w:jc w:val="both"/>
        <w:rPr>
          <w:sz w:val="20"/>
        </w:rPr>
      </w:pPr>
      <w:r>
        <w:t xml:space="preserve">     We then used the Conflict Minerals Reporting Template (CMRT), a standardized reporting template developed by the Responsible Minerals Initiative (RMI), to obtain information from these suppliers regarding the facilities used to process the necessary 3TG and the country of origin of such minerals.  For the 2021 calendar year, we received completed CMRTs from 94% of the 2,845 supplier locations that we believe supply components to GM that contain 3TG. </w:t>
      </w:r>
    </w:p>
    <w:p w14:paraId="0F103BD3" w14:textId="77777777" w:rsidR="00303994" w:rsidRDefault="00303994" w:rsidP="00303994">
      <w:pPr>
        <w:jc w:val="both"/>
      </w:pPr>
    </w:p>
    <w:p w14:paraId="7CD3BA4E" w14:textId="77777777" w:rsidR="00303994" w:rsidRDefault="00303994" w:rsidP="00303994">
      <w:pPr>
        <w:jc w:val="both"/>
        <w:rPr>
          <w:sz w:val="20"/>
        </w:rPr>
      </w:pPr>
      <w:r>
        <w:t xml:space="preserve">     We have conducted a reasonable country of origin inquiry (RCOI) and performed reasonable due diligence on the source and chain of custody of 3TG contained in the components and material supplied to us. Based on the results of our RCOI, and after conducting reasonable due diligence, we are unable to definitively determine the origin of the 3TG utilized in our products.</w:t>
      </w:r>
    </w:p>
    <w:p w14:paraId="619F4C6D" w14:textId="77777777" w:rsidR="00303994" w:rsidRDefault="00303994" w:rsidP="00303994">
      <w:pPr>
        <w:spacing w:after="160" w:line="300" w:lineRule="auto"/>
        <w:rPr>
          <w:sz w:val="20"/>
        </w:rPr>
      </w:pPr>
    </w:p>
    <w:p w14:paraId="3743E8CF" w14:textId="77777777" w:rsidR="00303994" w:rsidRDefault="00303994" w:rsidP="00303994">
      <w:pPr>
        <w:pageBreakBefore/>
        <w:rPr>
          <w:sz w:val="20"/>
        </w:rPr>
      </w:pPr>
      <w:r>
        <w:rPr>
          <w:b/>
        </w:rPr>
        <w:lastRenderedPageBreak/>
        <w:t>III.     Design of Due Diligence Process</w:t>
      </w:r>
    </w:p>
    <w:p w14:paraId="434726AA" w14:textId="77777777" w:rsidR="00303994" w:rsidRDefault="00303994" w:rsidP="00303994"/>
    <w:p w14:paraId="1BA31CF4" w14:textId="77777777" w:rsidR="00303994" w:rsidRDefault="00303994" w:rsidP="00303994">
      <w:pPr>
        <w:jc w:val="both"/>
        <w:rPr>
          <w:sz w:val="20"/>
        </w:rPr>
      </w:pPr>
      <w:r>
        <w:t xml:space="preserve">     To obtain information regarding the source and chain of custody of 3TG, we conducted due diligence through our direct suppliers based on the OECD Due Diligence Guidance for Responsible Supply Chains of Minerals from Conflict-Affected and High-Risk Areas (OECD Guidance) published by the </w:t>
      </w:r>
      <w:proofErr w:type="spellStart"/>
      <w:r>
        <w:t>Organisation</w:t>
      </w:r>
      <w:proofErr w:type="spellEnd"/>
      <w:r>
        <w:t xml:space="preserve"> for Economic Co-operation and Development (OECD). The OECD Guidance provides an internationally recognized framework for conflict minerals due diligence.</w:t>
      </w:r>
    </w:p>
    <w:p w14:paraId="5B9A8445" w14:textId="77777777" w:rsidR="00303994" w:rsidRDefault="00303994" w:rsidP="00303994">
      <w:pPr>
        <w:ind w:firstLine="792"/>
      </w:pPr>
    </w:p>
    <w:p w14:paraId="51D13DC8" w14:textId="77777777" w:rsidR="00303994" w:rsidRDefault="00303994" w:rsidP="00303994">
      <w:pPr>
        <w:rPr>
          <w:sz w:val="20"/>
        </w:rPr>
      </w:pPr>
      <w:r>
        <w:rPr>
          <w:b/>
        </w:rPr>
        <w:t>IV.</w:t>
      </w:r>
      <w:r>
        <w:rPr>
          <w:b/>
        </w:rPr>
        <w:tab/>
        <w:t>Due Diligence Measures Performed</w:t>
      </w:r>
    </w:p>
    <w:p w14:paraId="633BFF04" w14:textId="77777777" w:rsidR="00303994" w:rsidRDefault="00303994" w:rsidP="00303994"/>
    <w:p w14:paraId="0FB322BC" w14:textId="77777777" w:rsidR="00303994" w:rsidRDefault="00303994" w:rsidP="00303994">
      <w:pPr>
        <w:spacing w:before="44"/>
        <w:ind w:left="792"/>
        <w:rPr>
          <w:sz w:val="20"/>
        </w:rPr>
      </w:pPr>
      <w:r>
        <w:rPr>
          <w:b/>
        </w:rPr>
        <w:t>Step 1.    Establish Strong Company Management Systems</w:t>
      </w:r>
    </w:p>
    <w:p w14:paraId="66483773" w14:textId="77777777" w:rsidR="00303994" w:rsidRDefault="00303994" w:rsidP="00303994"/>
    <w:p w14:paraId="7B84169B" w14:textId="77777777" w:rsidR="00303994" w:rsidRDefault="00303994" w:rsidP="00303994">
      <w:pPr>
        <w:ind w:left="1584"/>
        <w:rPr>
          <w:sz w:val="20"/>
        </w:rPr>
      </w:pPr>
      <w:r>
        <w:rPr>
          <w:b/>
        </w:rPr>
        <w:t>1. Company Conflict Minerals Policy</w:t>
      </w:r>
    </w:p>
    <w:p w14:paraId="156444BA" w14:textId="77777777" w:rsidR="00303994" w:rsidRDefault="00303994" w:rsidP="00303994"/>
    <w:p w14:paraId="42AD5655" w14:textId="77777777" w:rsidR="00303994" w:rsidRDefault="00303994" w:rsidP="00303994">
      <w:pPr>
        <w:jc w:val="both"/>
        <w:rPr>
          <w:sz w:val="20"/>
        </w:rPr>
      </w:pPr>
      <w:r>
        <w:t xml:space="preserve">     GM’s policies and practices, including its Conflict Minerals Policy, reflect our commitment to responsible sourcing strategies that mitigate negative social and environmental impacts. Through our Supplier Code of Conduct, we expect similar commitments and efforts from our suppliers to source responsibly within their supply chains, including sourcing 3TG. Our Conflict Minerals Policy can be found at investor.gm.com/static-files/f995efa6-1046-4ede-8ff6-97a402ead20e, and it has also been incorporated into our Sustainability Report. We also communicate this policy to our suppliers through our supplier portal. The policy is as follows:</w:t>
      </w:r>
    </w:p>
    <w:p w14:paraId="0ED5CEA7" w14:textId="77777777" w:rsidR="00303994" w:rsidRDefault="00303994" w:rsidP="00303994"/>
    <w:p w14:paraId="3B6592FE" w14:textId="77777777" w:rsidR="00303994" w:rsidRDefault="00303994" w:rsidP="00303994">
      <w:pPr>
        <w:spacing w:before="88" w:after="88"/>
        <w:jc w:val="center"/>
        <w:rPr>
          <w:sz w:val="20"/>
        </w:rPr>
      </w:pPr>
      <w:r>
        <w:rPr>
          <w:b/>
        </w:rPr>
        <w:t>CONFLICT MINERALS POLICY</w:t>
      </w:r>
    </w:p>
    <w:p w14:paraId="42C4E833" w14:textId="77777777" w:rsidR="00303994" w:rsidRDefault="00303994" w:rsidP="00303994"/>
    <w:p w14:paraId="170CC2C6" w14:textId="77777777" w:rsidR="00303994" w:rsidRDefault="00303994" w:rsidP="00303994">
      <w:pPr>
        <w:jc w:val="both"/>
        <w:rPr>
          <w:sz w:val="20"/>
        </w:rPr>
      </w:pPr>
      <w:r>
        <w:rPr>
          <w:i/>
        </w:rPr>
        <w:t>General Motors is committed to sustainable and responsible sourcing of goods and services throughout our supply chain. GM supports the human rights goals reflected in the adoption of conflict mineral due diligence requirements included in the Dodd-Frank Wall Street Reform and Consumer Protection Act of 2010. GM has a zero tolerance policy against the use of child labor, and prohibits abusive treatment to employees and corrupt business practices in our supply base.</w:t>
      </w:r>
    </w:p>
    <w:p w14:paraId="5F98DC07" w14:textId="77777777" w:rsidR="00303994" w:rsidRDefault="00303994" w:rsidP="00303994">
      <w:pPr>
        <w:jc w:val="both"/>
      </w:pPr>
    </w:p>
    <w:p w14:paraId="063DD7EE" w14:textId="77777777" w:rsidR="00303994" w:rsidRDefault="00303994" w:rsidP="00303994">
      <w:pPr>
        <w:jc w:val="both"/>
        <w:rPr>
          <w:sz w:val="20"/>
        </w:rPr>
      </w:pPr>
      <w:r>
        <w:rPr>
          <w:i/>
        </w:rPr>
        <w:t>Through industry collaboration, GM has adopted a common methodology to obtain chain of custody declarations from suppliers to increase the transparency of conflict minerals in our global supply chain. GM has been an active contributor within the Automotive Industry Action Group (AIAG) in developing an automotive industry wide approach to reporting the use of conflict minerals, and educating suppliers about their roles and responsibilities.</w:t>
      </w:r>
    </w:p>
    <w:p w14:paraId="0D9181B5" w14:textId="77777777" w:rsidR="00303994" w:rsidRDefault="00303994" w:rsidP="00303994">
      <w:pPr>
        <w:jc w:val="both"/>
      </w:pPr>
    </w:p>
    <w:p w14:paraId="2229B1BB" w14:textId="77777777" w:rsidR="00303994" w:rsidRDefault="00303994" w:rsidP="00303994">
      <w:pPr>
        <w:spacing w:before="88" w:after="88"/>
        <w:jc w:val="both"/>
        <w:rPr>
          <w:sz w:val="20"/>
        </w:rPr>
      </w:pPr>
      <w:r>
        <w:rPr>
          <w:i/>
        </w:rPr>
        <w:t>We require our suppliers to engage in supply chain due diligence to improve understanding and reporting of component content supplied to GM. Further, we encourage our suppliers to source responsibly with validated conflict free smelters, wherever possible, to increase our level of confidence that the components in our vehicles and products contain conflict free minerals. We recognize that our sourcing decisions may cause economic consequences in impacted regions and seek to avoid inadvertent adverse economic impact attributable to conflict mineral due diligence activities.</w:t>
      </w:r>
    </w:p>
    <w:p w14:paraId="34941685" w14:textId="77777777" w:rsidR="00303994" w:rsidRDefault="00303994" w:rsidP="00303994">
      <w:pPr>
        <w:jc w:val="both"/>
      </w:pPr>
    </w:p>
    <w:p w14:paraId="3030C003" w14:textId="77777777" w:rsidR="00303994" w:rsidRDefault="00303994" w:rsidP="00303994">
      <w:pPr>
        <w:jc w:val="both"/>
        <w:rPr>
          <w:sz w:val="20"/>
        </w:rPr>
      </w:pPr>
      <w:r>
        <w:rPr>
          <w:b/>
        </w:rPr>
        <w:t>Commitment to Sourcing Responsibly</w:t>
      </w:r>
    </w:p>
    <w:p w14:paraId="594308CE" w14:textId="77777777" w:rsidR="00303994" w:rsidRDefault="00303994" w:rsidP="00303994">
      <w:pPr>
        <w:jc w:val="both"/>
      </w:pPr>
    </w:p>
    <w:p w14:paraId="7BB5BF3E" w14:textId="77777777" w:rsidR="00303994" w:rsidRDefault="00303994" w:rsidP="00303994">
      <w:pPr>
        <w:jc w:val="both"/>
        <w:rPr>
          <w:sz w:val="20"/>
        </w:rPr>
      </w:pPr>
      <w:r>
        <w:rPr>
          <w:b/>
        </w:rPr>
        <w:t xml:space="preserve">     </w:t>
      </w:r>
      <w:r>
        <w:t>General Motors is committed to upholding human rights across our network of suppliers that support our global operations. Part of that commitment is found in our Supplier Code of Conduct and our Human Rights Policy. GM understands that long-term success starts with a company’s value system and a principled approach to doing business. These documents clearly communicate how we define, approach, govern, and support universal human rights and the dignity of people throughout our operations, the communities in which we operate, and our global supply chain.</w:t>
      </w:r>
      <w:r>
        <w:rPr>
          <w:b/>
          <w:color w:val="FF0000"/>
        </w:rPr>
        <w:t xml:space="preserve"> </w:t>
      </w:r>
      <w:r>
        <w:t>GM is also a signatory to the UN Global Compact and a member of RMI.</w:t>
      </w:r>
    </w:p>
    <w:p w14:paraId="0676A9C2" w14:textId="77777777" w:rsidR="00303994" w:rsidRDefault="00303994" w:rsidP="00303994">
      <w:pPr>
        <w:jc w:val="both"/>
      </w:pPr>
    </w:p>
    <w:p w14:paraId="115B3140" w14:textId="77777777" w:rsidR="00303994" w:rsidRDefault="00303994" w:rsidP="00303994">
      <w:pPr>
        <w:spacing w:after="160" w:line="300" w:lineRule="auto"/>
        <w:rPr>
          <w:sz w:val="20"/>
        </w:rPr>
      </w:pPr>
    </w:p>
    <w:p w14:paraId="727D1972" w14:textId="77777777" w:rsidR="00303994" w:rsidRDefault="00303994" w:rsidP="00303994">
      <w:pPr>
        <w:pageBreakBefore/>
        <w:ind w:left="1584"/>
        <w:jc w:val="both"/>
        <w:rPr>
          <w:b/>
        </w:rPr>
      </w:pPr>
      <w:r>
        <w:rPr>
          <w:b/>
        </w:rPr>
        <w:lastRenderedPageBreak/>
        <w:t>2. Internal Management Team</w:t>
      </w:r>
    </w:p>
    <w:p w14:paraId="44462945" w14:textId="77777777" w:rsidR="00303994" w:rsidRDefault="00303994" w:rsidP="00303994">
      <w:pPr>
        <w:ind w:firstLine="792"/>
        <w:jc w:val="both"/>
        <w:rPr>
          <w:sz w:val="20"/>
        </w:rPr>
      </w:pPr>
      <w:r>
        <w:t>    </w:t>
      </w:r>
    </w:p>
    <w:p w14:paraId="52AA0379" w14:textId="77777777" w:rsidR="00303994" w:rsidRDefault="00303994" w:rsidP="00303994">
      <w:pPr>
        <w:jc w:val="both"/>
        <w:rPr>
          <w:sz w:val="20"/>
        </w:rPr>
      </w:pPr>
      <w:r>
        <w:t xml:space="preserve">     We have created a compliance group within our Global Purchasing and Supply Chain function that is responsible for, among other things, overseeing and enhancing our sustainability and compliance efforts, including conflict minerals, supplier awareness programs, trade restrictions, and similar efforts. By consolidating these efforts under the guidance of a single director, we seek to implement our sustainability policies and achieve our goals.</w:t>
      </w:r>
    </w:p>
    <w:p w14:paraId="5F5416C4" w14:textId="77777777" w:rsidR="00303994" w:rsidRDefault="00303994" w:rsidP="00303994">
      <w:pPr>
        <w:jc w:val="both"/>
      </w:pPr>
    </w:p>
    <w:p w14:paraId="37FA46EE" w14:textId="77777777" w:rsidR="00303994" w:rsidRDefault="00303994" w:rsidP="00303994">
      <w:pPr>
        <w:jc w:val="both"/>
        <w:rPr>
          <w:sz w:val="20"/>
        </w:rPr>
      </w:pPr>
      <w:r>
        <w:t xml:space="preserve">     Within this compliance-focused group, we have a team to lead our conflict minerals compliance program. To support this team, we organized a Conflict Minerals Compliance Committee, composed of representatives from the following functional areas: Global Purchasing and Supply Chain, Legal, Finance, Sustainability, SEC Reporting, and GM Audit Services. The Conflict Minerals Compliance Committee provides cross functional expertise for our conflict minerals compliance program. We also have a Conflict Minerals Executive Steering Committee composed of executives in Global Purchasing and Supply Chain, Legal, Sustainability, and Public Policy. The Executive Steering Committee exercises oversight over the conflict minerals compliance program.</w:t>
      </w:r>
    </w:p>
    <w:p w14:paraId="177FD741" w14:textId="77777777" w:rsidR="00303994" w:rsidRDefault="00303994" w:rsidP="00303994">
      <w:pPr>
        <w:jc w:val="both"/>
      </w:pPr>
    </w:p>
    <w:p w14:paraId="1E719455" w14:textId="77777777" w:rsidR="00303994" w:rsidRDefault="00303994" w:rsidP="00303994">
      <w:pPr>
        <w:ind w:left="1584"/>
        <w:jc w:val="both"/>
        <w:rPr>
          <w:sz w:val="20"/>
        </w:rPr>
      </w:pPr>
      <w:r>
        <w:rPr>
          <w:b/>
        </w:rPr>
        <w:t>3. System of Supply Chain Controls and Transparency</w:t>
      </w:r>
    </w:p>
    <w:p w14:paraId="065451CE" w14:textId="77777777" w:rsidR="00303994" w:rsidRDefault="00303994" w:rsidP="00303994">
      <w:pPr>
        <w:ind w:left="1584"/>
        <w:jc w:val="both"/>
      </w:pPr>
    </w:p>
    <w:p w14:paraId="6BD305E7" w14:textId="77777777" w:rsidR="00303994" w:rsidRDefault="00303994" w:rsidP="00303994">
      <w:pPr>
        <w:jc w:val="both"/>
        <w:rPr>
          <w:rFonts w:ascii="Calibri" w:eastAsia="Calibri" w:hAnsi="Calibri" w:cs="Calibri"/>
        </w:rPr>
      </w:pPr>
      <w:r>
        <w:rPr>
          <w:rFonts w:ascii="Calibri" w:eastAsia="Calibri" w:hAnsi="Calibri" w:cs="Calibri"/>
        </w:rPr>
        <w:t xml:space="preserve">     </w:t>
      </w:r>
      <w:r>
        <w:t>We rely on our first-tier suppliers to solicit information from the suppliers lower in our supply chain regarding the facilities that process the necessary 3TG, including the country of origin of such minerals, and to provide that information in their responses to our request for conflict minerals information. We review our first-tier suppliers’ responses for completeness and consistency and work with them to improve the accuracy of the information we receive, if necessary.</w:t>
      </w:r>
      <w:r>
        <w:rPr>
          <w:rFonts w:ascii="Calibri" w:eastAsia="Calibri" w:hAnsi="Calibri" w:cs="Calibri"/>
        </w:rPr>
        <w:t xml:space="preserve"> </w:t>
      </w:r>
    </w:p>
    <w:p w14:paraId="1996665B" w14:textId="77777777" w:rsidR="00303994" w:rsidRDefault="00303994" w:rsidP="00303994">
      <w:pPr>
        <w:jc w:val="both"/>
        <w:rPr>
          <w:rFonts w:ascii="Calibri" w:eastAsia="Calibri" w:hAnsi="Calibri" w:cs="Calibri"/>
        </w:rPr>
      </w:pPr>
    </w:p>
    <w:p w14:paraId="39E17937" w14:textId="77777777" w:rsidR="00303994" w:rsidRDefault="00303994" w:rsidP="00303994">
      <w:pPr>
        <w:ind w:left="1584"/>
        <w:jc w:val="both"/>
        <w:rPr>
          <w:sz w:val="20"/>
        </w:rPr>
      </w:pPr>
      <w:r>
        <w:rPr>
          <w:b/>
        </w:rPr>
        <w:t>4. Supplier Engagement</w:t>
      </w:r>
    </w:p>
    <w:p w14:paraId="19F409C0" w14:textId="77777777" w:rsidR="00303994" w:rsidRDefault="00303994" w:rsidP="00303994">
      <w:pPr>
        <w:jc w:val="both"/>
      </w:pPr>
    </w:p>
    <w:p w14:paraId="4226CB43" w14:textId="77777777" w:rsidR="00303994" w:rsidRDefault="00303994" w:rsidP="00303994">
      <w:pPr>
        <w:jc w:val="both"/>
        <w:rPr>
          <w:sz w:val="20"/>
        </w:rPr>
      </w:pPr>
      <w:r>
        <w:t xml:space="preserve">     We engage with our suppliers to assist them in building capabilities to improve their chain of custody declarations and increase the transparency of 3TG in our global supply chain. We communicate our conflict minerals reporting requirements to suppliers through various mechanisms, including teleconferences, emails, publications, and webinars. We have also established a direct email address (conflictminerals@gm.com) to provide our suppliers a streamlined path of communication relating to conflict minerals. We make conflict minerals reference documents available through our supplier portal. Some of the documents we have created and provide are frequently asked questions, CMRT completion instructions, webinar presentations, and leadership messages related to conflict minerals.</w:t>
      </w:r>
    </w:p>
    <w:p w14:paraId="6550B23D" w14:textId="77777777" w:rsidR="00303994" w:rsidRDefault="00303994" w:rsidP="00303994">
      <w:pPr>
        <w:jc w:val="both"/>
      </w:pPr>
    </w:p>
    <w:p w14:paraId="63D2B363" w14:textId="77777777" w:rsidR="00303994" w:rsidRDefault="00303994" w:rsidP="00303994">
      <w:pPr>
        <w:ind w:left="1584"/>
        <w:jc w:val="both"/>
        <w:rPr>
          <w:sz w:val="20"/>
        </w:rPr>
      </w:pPr>
      <w:r>
        <w:rPr>
          <w:b/>
        </w:rPr>
        <w:t>5. Grievance Mechanism</w:t>
      </w:r>
    </w:p>
    <w:p w14:paraId="2538C604" w14:textId="77777777" w:rsidR="00303994" w:rsidRDefault="00303994" w:rsidP="00303994">
      <w:pPr>
        <w:ind w:firstLine="792"/>
        <w:jc w:val="both"/>
        <w:rPr>
          <w:sz w:val="20"/>
        </w:rPr>
      </w:pPr>
      <w:r>
        <w:t>    </w:t>
      </w:r>
    </w:p>
    <w:p w14:paraId="0E115442" w14:textId="77777777" w:rsidR="00303994" w:rsidRDefault="00303994" w:rsidP="00303994">
      <w:pPr>
        <w:jc w:val="both"/>
        <w:rPr>
          <w:sz w:val="20"/>
        </w:rPr>
      </w:pPr>
      <w:r>
        <w:t xml:space="preserve">     We maintain procedures for reporting potential safety concerns, potential misconduct, and concerns about potential ethical violations, including concerns regarding conflict minerals. One of those methods is the “</w:t>
      </w:r>
      <w:proofErr w:type="spellStart"/>
      <w:r>
        <w:t>Awareline</w:t>
      </w:r>
      <w:proofErr w:type="spellEnd"/>
      <w:r>
        <w:t xml:space="preserve">,” which allows employees, suppliers, and others to report concerns about us, our management, supervisors, employees, or agents. Reports can be made to the </w:t>
      </w:r>
      <w:proofErr w:type="spellStart"/>
      <w:r>
        <w:t>Awareline</w:t>
      </w:r>
      <w:proofErr w:type="spellEnd"/>
      <w:r>
        <w:t xml:space="preserve"> in over a dozen different languages 24 hours per day, 7 days per week by phone, Internet, or email. Individuals filing reports on the </w:t>
      </w:r>
      <w:proofErr w:type="spellStart"/>
      <w:r>
        <w:t>Awareline</w:t>
      </w:r>
      <w:proofErr w:type="spellEnd"/>
      <w:r>
        <w:t xml:space="preserve"> may remain anonymous as permitted by law. Information about the </w:t>
      </w:r>
      <w:proofErr w:type="spellStart"/>
      <w:r>
        <w:t>Awareline</w:t>
      </w:r>
      <w:proofErr w:type="spellEnd"/>
      <w:r>
        <w:t xml:space="preserve"> is found at: awareline.com.</w:t>
      </w:r>
    </w:p>
    <w:p w14:paraId="49DA226C" w14:textId="77777777" w:rsidR="00303994" w:rsidRDefault="00303994" w:rsidP="00303994">
      <w:pPr>
        <w:jc w:val="both"/>
      </w:pPr>
    </w:p>
    <w:p w14:paraId="506756C9" w14:textId="77777777" w:rsidR="00303994" w:rsidRDefault="00303994" w:rsidP="00303994">
      <w:pPr>
        <w:ind w:left="792"/>
        <w:jc w:val="both"/>
        <w:rPr>
          <w:sz w:val="20"/>
        </w:rPr>
      </w:pPr>
      <w:r>
        <w:rPr>
          <w:b/>
        </w:rPr>
        <w:t>Step 2.</w:t>
      </w:r>
      <w:r>
        <w:t xml:space="preserve">     </w:t>
      </w:r>
      <w:r>
        <w:rPr>
          <w:b/>
        </w:rPr>
        <w:t>Identify and Assess Risk in the Supply Chain</w:t>
      </w:r>
    </w:p>
    <w:p w14:paraId="277936C9" w14:textId="77777777" w:rsidR="00303994" w:rsidRDefault="00303994" w:rsidP="00303994">
      <w:pPr>
        <w:jc w:val="both"/>
      </w:pPr>
    </w:p>
    <w:p w14:paraId="703787B8" w14:textId="77777777" w:rsidR="00303994" w:rsidRDefault="00303994" w:rsidP="00303994">
      <w:pPr>
        <w:jc w:val="both"/>
        <w:rPr>
          <w:sz w:val="20"/>
        </w:rPr>
      </w:pPr>
      <w:r>
        <w:t xml:space="preserve">     We analyzed our suppliers’ CMRT responses for completeness and consistency. In addition to identifying all the SORs of 3TG in their supply chains, we required our suppliers to identify the country where the minerals were mined (the country of origin). Although we requested that our suppliers include this information in their responses, not all suppliers provided responses with country of origin information. We continue to educate our suppliers on the importance of determining the mine or location of origin with the greatest possible specificity.</w:t>
      </w:r>
    </w:p>
    <w:p w14:paraId="1D5EA1B8" w14:textId="77777777" w:rsidR="00303994" w:rsidRDefault="00303994" w:rsidP="00303994">
      <w:pPr>
        <w:jc w:val="both"/>
      </w:pPr>
    </w:p>
    <w:p w14:paraId="526EDDB2" w14:textId="77777777" w:rsidR="00303994" w:rsidRDefault="00303994" w:rsidP="00303994">
      <w:pPr>
        <w:jc w:val="both"/>
        <w:rPr>
          <w:sz w:val="20"/>
        </w:rPr>
      </w:pPr>
      <w:r>
        <w:t xml:space="preserve">     Through our membership in RMI (ID #GMOT), we obtained a list of SORs who are in conformance with the Responsible Minerals Assurance Process (RMAP) as well as some of their country of origin sourcing information. </w:t>
      </w:r>
      <w:r>
        <w:rPr>
          <w:shd w:val="clear" w:color="auto" w:fill="FEFEFE"/>
        </w:rPr>
        <w:t xml:space="preserve">The RMAP uses an independent third-party assessment of the management systems and sourcing practices of the SORs to validate conformance with RMAP standards.  </w:t>
      </w:r>
    </w:p>
    <w:p w14:paraId="023BC4F1" w14:textId="77777777" w:rsidR="00303994" w:rsidRDefault="00303994" w:rsidP="00303994">
      <w:pPr>
        <w:jc w:val="both"/>
      </w:pPr>
    </w:p>
    <w:p w14:paraId="49FF0BC5" w14:textId="77777777" w:rsidR="00303994" w:rsidRDefault="00303994" w:rsidP="00303994">
      <w:pPr>
        <w:jc w:val="both"/>
        <w:rPr>
          <w:sz w:val="20"/>
        </w:rPr>
      </w:pPr>
      <w:r>
        <w:lastRenderedPageBreak/>
        <w:t xml:space="preserve">     We used the RMI smelter and </w:t>
      </w:r>
      <w:proofErr w:type="spellStart"/>
      <w:r>
        <w:t>refiner</w:t>
      </w:r>
      <w:proofErr w:type="spellEnd"/>
      <w:r>
        <w:t xml:space="preserve"> conformant list internally to analyze the SOR lists provided to us from our suppliers’ CMRT submissions. We also utilized RMI member resources to identify those high risk SORs that were listed in our suppliers’ CMRTs as sourcing from the Covered Countries and not listed as conformant to RMAP. </w:t>
      </w:r>
    </w:p>
    <w:p w14:paraId="58736394" w14:textId="77777777" w:rsidR="00303994" w:rsidRDefault="00303994" w:rsidP="00303994">
      <w:pPr>
        <w:jc w:val="both"/>
      </w:pPr>
    </w:p>
    <w:p w14:paraId="5DBFFB88" w14:textId="77777777" w:rsidR="00303994" w:rsidRDefault="00303994" w:rsidP="00303994">
      <w:pPr>
        <w:jc w:val="both"/>
        <w:rPr>
          <w:sz w:val="20"/>
        </w:rPr>
      </w:pPr>
      <w:r>
        <w:t xml:space="preserve">     Our team provided individual smelter analysis to specific suppliers that identified SORs in their CMRTs that are not yet in the RMAP. This analysis also identified entities that did not meet the definition of an eligible SOR. By providing the smelter analyses to our suppliers, we are empowering our suppliers to inform their supply chains of the identity of non-RMAP-conformant SORs. We requested our suppliers to send letters encouraging SORs to join the RMAP. We also requested our suppliers improve the accuracy of their smelter lists by eliminating the SORs that are no longer in operation and removing those entities that did not meet the definition of eligible SORs.</w:t>
      </w:r>
    </w:p>
    <w:p w14:paraId="29217749" w14:textId="77777777" w:rsidR="00303994" w:rsidRDefault="00303994" w:rsidP="00303994">
      <w:pPr>
        <w:jc w:val="both"/>
        <w:rPr>
          <w:sz w:val="20"/>
        </w:rPr>
      </w:pPr>
    </w:p>
    <w:p w14:paraId="03E9EE0F" w14:textId="77777777" w:rsidR="00303994" w:rsidRDefault="00303994" w:rsidP="00303994">
      <w:pPr>
        <w:ind w:firstLine="792"/>
        <w:jc w:val="both"/>
        <w:rPr>
          <w:sz w:val="20"/>
        </w:rPr>
      </w:pPr>
      <w:r>
        <w:rPr>
          <w:b/>
        </w:rPr>
        <w:t>Step 3.</w:t>
      </w:r>
      <w:r>
        <w:t>    </w:t>
      </w:r>
      <w:r>
        <w:rPr>
          <w:b/>
        </w:rPr>
        <w:t>Design and Implement a Strategy to Respond to Identified Risk</w:t>
      </w:r>
    </w:p>
    <w:p w14:paraId="405E7450" w14:textId="77777777" w:rsidR="00303994" w:rsidRDefault="00303994" w:rsidP="00303994">
      <w:pPr>
        <w:jc w:val="both"/>
      </w:pPr>
    </w:p>
    <w:p w14:paraId="02A10A1E" w14:textId="77777777" w:rsidR="00303994" w:rsidRDefault="00303994" w:rsidP="00303994">
      <w:pPr>
        <w:jc w:val="both"/>
        <w:rPr>
          <w:sz w:val="20"/>
        </w:rPr>
      </w:pPr>
      <w:r>
        <w:t xml:space="preserve">     As previously described, we review each supplier CMRT response to (i) provide feedback to our suppliers and (ii) identify risks in our supply chain related to the use of 3TG. Some key factors in our CMRT analysis were supplier sub-tier response rates, the percentage of non-conformant SORs listed in each supplier’s smelter list, IMDS inconsistency (i.e., when the supplier’s 3TG declaration does not match the IMDS records), and SOR sourcing information. </w:t>
      </w:r>
    </w:p>
    <w:p w14:paraId="770DC755" w14:textId="77777777" w:rsidR="00303994" w:rsidRDefault="00303994" w:rsidP="00303994">
      <w:pPr>
        <w:jc w:val="both"/>
      </w:pPr>
    </w:p>
    <w:p w14:paraId="66A50F0D" w14:textId="77777777" w:rsidR="00303994" w:rsidRDefault="00303994" w:rsidP="00303994">
      <w:pPr>
        <w:jc w:val="both"/>
        <w:rPr>
          <w:sz w:val="20"/>
        </w:rPr>
      </w:pPr>
      <w:r>
        <w:t xml:space="preserve">     We also have established a formal escalation process for resolving concerns regarding the use of 3TG in our supply chain. Specifically, when our conflict minerals team identifies defects, inconsistencies, or other problems in a supplier’s CMRT response (including a failure to respond), we first attempt to work directly with the supplier to resolve the issue. If our conflict minerals team does not receive an acceptable response from the supplier, the issue is escalated to the appropriate leadership and eventually to the Conflict Minerals Executive Steering Committee. If necessary, we may preclude a supplier from receiving future business if the concern is not resolved.</w:t>
      </w:r>
    </w:p>
    <w:p w14:paraId="653F4A59" w14:textId="77777777" w:rsidR="00303994" w:rsidRDefault="00303994" w:rsidP="00303994">
      <w:pPr>
        <w:jc w:val="both"/>
      </w:pPr>
    </w:p>
    <w:p w14:paraId="4814365C" w14:textId="77777777" w:rsidR="00303994" w:rsidRDefault="00303994" w:rsidP="00303994">
      <w:pPr>
        <w:jc w:val="both"/>
        <w:rPr>
          <w:sz w:val="20"/>
        </w:rPr>
      </w:pPr>
      <w:r>
        <w:t xml:space="preserve">     The SOR outreach and certification process are also important risk mitigation components of our conflict minerals program. To increase the number of RMAP-conformant SORs, specifically during the 2021 reporting year, GM conducted outreach to 51 eligible SORs by sending letters to encourage them to join the RMAP.  We also encourage our tier 1 suppliers to send outreach letters to the SORs in their smelter lists who are not determined to be RMAP conformant by RMI. </w:t>
      </w:r>
    </w:p>
    <w:p w14:paraId="4A765531" w14:textId="77777777" w:rsidR="00303994" w:rsidRDefault="00303994" w:rsidP="00303994">
      <w:pPr>
        <w:jc w:val="both"/>
      </w:pPr>
    </w:p>
    <w:p w14:paraId="38AF169D" w14:textId="77777777" w:rsidR="00303994" w:rsidRDefault="00303994" w:rsidP="00303994">
      <w:pPr>
        <w:jc w:val="both"/>
        <w:rPr>
          <w:sz w:val="20"/>
        </w:rPr>
      </w:pPr>
      <w:r>
        <w:t xml:space="preserve">     The results of our monitoring and outreach efforts are reported to the Conflict Minerals Executive Steering Committee at regular, periodic meetings and tracked against the prior year’s results.</w:t>
      </w:r>
    </w:p>
    <w:p w14:paraId="30034866" w14:textId="77777777" w:rsidR="00303994" w:rsidRDefault="00303994" w:rsidP="00303994">
      <w:pPr>
        <w:ind w:firstLine="792"/>
        <w:jc w:val="both"/>
      </w:pPr>
    </w:p>
    <w:p w14:paraId="08FD2FD9" w14:textId="77777777" w:rsidR="00303994" w:rsidRDefault="00303994" w:rsidP="00303994">
      <w:pPr>
        <w:ind w:firstLine="792"/>
        <w:jc w:val="both"/>
        <w:rPr>
          <w:sz w:val="20"/>
        </w:rPr>
      </w:pPr>
      <w:r>
        <w:rPr>
          <w:b/>
        </w:rPr>
        <w:t>Step 4.</w:t>
      </w:r>
      <w:r>
        <w:t xml:space="preserve">     </w:t>
      </w:r>
      <w:r>
        <w:rPr>
          <w:b/>
        </w:rPr>
        <w:t>Carry Out Independent Third-Party Audit of Supply Chain Due Diligence</w:t>
      </w:r>
    </w:p>
    <w:p w14:paraId="7421538C" w14:textId="77777777" w:rsidR="00303994" w:rsidRDefault="00303994" w:rsidP="00303994">
      <w:pPr>
        <w:jc w:val="both"/>
      </w:pPr>
    </w:p>
    <w:p w14:paraId="3D8F1925" w14:textId="77777777" w:rsidR="00303994" w:rsidRDefault="00303994" w:rsidP="00303994">
      <w:pPr>
        <w:jc w:val="both"/>
        <w:rPr>
          <w:sz w:val="20"/>
        </w:rPr>
      </w:pPr>
      <w:r>
        <w:t xml:space="preserve">     Since we do not source directly from SORs, we rely on information from industry involvement and information available through our membership in RMI. We actively support industry-wide initiatives to improve both reporting and knowledge regarding the SORs supplying 3TG for our products.  One key initiative that we supported financially is the not-for-profit RMI Initial Audit Fund.  This fund is set up and managed by RMI to help support SORs with their first formal audit to join the RMAP.</w:t>
      </w:r>
    </w:p>
    <w:p w14:paraId="35C480E0" w14:textId="77777777" w:rsidR="00303994" w:rsidRDefault="00303994" w:rsidP="00303994">
      <w:pPr>
        <w:jc w:val="both"/>
        <w:rPr>
          <w:sz w:val="20"/>
        </w:rPr>
      </w:pPr>
    </w:p>
    <w:p w14:paraId="4E90E272" w14:textId="77777777" w:rsidR="00303994" w:rsidRDefault="00303994" w:rsidP="00303994">
      <w:pPr>
        <w:ind w:firstLine="792"/>
        <w:jc w:val="both"/>
        <w:rPr>
          <w:sz w:val="20"/>
        </w:rPr>
      </w:pPr>
      <w:r>
        <w:rPr>
          <w:b/>
        </w:rPr>
        <w:t>Step 5.</w:t>
      </w:r>
      <w:r>
        <w:t>    </w:t>
      </w:r>
      <w:r>
        <w:rPr>
          <w:b/>
        </w:rPr>
        <w:t>Report on Supply Chain Due Diligence</w:t>
      </w:r>
    </w:p>
    <w:p w14:paraId="274C1DC9" w14:textId="77777777" w:rsidR="00303994" w:rsidRDefault="00303994" w:rsidP="00303994">
      <w:pPr>
        <w:jc w:val="both"/>
      </w:pPr>
    </w:p>
    <w:p w14:paraId="2E1F70DA" w14:textId="77777777" w:rsidR="00303994" w:rsidRDefault="00303994" w:rsidP="00303994">
      <w:pPr>
        <w:jc w:val="both"/>
        <w:rPr>
          <w:sz w:val="20"/>
        </w:rPr>
      </w:pPr>
      <w:r>
        <w:t xml:space="preserve">     We file the Specialized Disclosure Form (Form SD), including the Conflict Minerals Report, annually with the SEC as directed by the Dodd-Frank Act. Our Form SD and CMR are available on our website at investor.gm.com/sec-filings. </w:t>
      </w:r>
    </w:p>
    <w:p w14:paraId="073923F4" w14:textId="77777777" w:rsidR="00303994" w:rsidRDefault="00303994" w:rsidP="00303994">
      <w:pPr>
        <w:spacing w:after="160" w:line="300" w:lineRule="auto"/>
        <w:rPr>
          <w:sz w:val="20"/>
        </w:rPr>
      </w:pPr>
    </w:p>
    <w:p w14:paraId="3625096E" w14:textId="77777777" w:rsidR="00303994" w:rsidRDefault="00303994" w:rsidP="00303994">
      <w:pPr>
        <w:pageBreakBefore/>
        <w:jc w:val="both"/>
        <w:rPr>
          <w:sz w:val="20"/>
        </w:rPr>
      </w:pPr>
      <w:r>
        <w:rPr>
          <w:b/>
        </w:rPr>
        <w:lastRenderedPageBreak/>
        <w:t>V.    Steps We Have Taken or Will Take to Mitigate the Risk that Conflict Minerals in Our Products Benefit Armed Groups, Including Improving Due Diligence</w:t>
      </w:r>
    </w:p>
    <w:p w14:paraId="45E786DE" w14:textId="77777777" w:rsidR="00303994" w:rsidRDefault="00303994" w:rsidP="00303994">
      <w:pPr>
        <w:ind w:firstLine="792"/>
        <w:jc w:val="both"/>
      </w:pPr>
    </w:p>
    <w:p w14:paraId="5E2DDE8B" w14:textId="77777777" w:rsidR="00303994" w:rsidRDefault="00303994" w:rsidP="00303994">
      <w:pPr>
        <w:jc w:val="both"/>
        <w:rPr>
          <w:sz w:val="20"/>
        </w:rPr>
      </w:pPr>
      <w:r>
        <w:t xml:space="preserve">     We are continuing to work with our suppliers to gather more information through the supply chain. Through emails, webinars, and our Conflict Minerals Policy, we are encouraging our suppliers to work with their supply chains to source responsibly, including utilizing conformant SORs.</w:t>
      </w:r>
    </w:p>
    <w:p w14:paraId="20BF69EB" w14:textId="77777777" w:rsidR="00303994" w:rsidRDefault="00303994" w:rsidP="00303994">
      <w:pPr>
        <w:jc w:val="both"/>
      </w:pPr>
    </w:p>
    <w:p w14:paraId="6A4F13AA" w14:textId="77777777" w:rsidR="00303994" w:rsidRDefault="00303994" w:rsidP="00303994">
      <w:pPr>
        <w:jc w:val="both"/>
        <w:rPr>
          <w:sz w:val="20"/>
        </w:rPr>
      </w:pPr>
      <w:r>
        <w:t xml:space="preserve">     We will continue to work with AIAG to further educate suppliers and utilize common methods to determine the origin of 3TG in our products. Through this group, we will continue to develop and participate in AIAG training and other 3TG initiatives. We also actively participate in the AIAG Smelter Engagement Team (SET) and the RMI SET to prioritize and conduct outreach and visits to SORs.</w:t>
      </w:r>
    </w:p>
    <w:p w14:paraId="76B262E8" w14:textId="77777777" w:rsidR="00303994" w:rsidRDefault="00303994" w:rsidP="00303994">
      <w:pPr>
        <w:jc w:val="both"/>
        <w:rPr>
          <w:sz w:val="20"/>
        </w:rPr>
      </w:pPr>
    </w:p>
    <w:p w14:paraId="34894BAD" w14:textId="77777777" w:rsidR="00303994" w:rsidRDefault="00303994" w:rsidP="00303994">
      <w:pPr>
        <w:jc w:val="both"/>
        <w:rPr>
          <w:sz w:val="20"/>
        </w:rPr>
      </w:pPr>
      <w:r>
        <w:t xml:space="preserve">     As a member company of RMI, we are further developing a reliable SOR list by assisting RMI in identifying eligible SORs. Working with RMI and AIAG, we are sending letters to SORs and holding virtual meetings with SORs who have not yet engaged in the RMAP. We believe that increasing the participation of SORs in this program will not only expand the availability of conflict-free 3TG but will also enhance the ability of our supply base to reliably source 3TG from conformant SORs.</w:t>
      </w:r>
    </w:p>
    <w:p w14:paraId="12290D2F" w14:textId="77777777" w:rsidR="00303994" w:rsidRDefault="00303994" w:rsidP="00303994">
      <w:pPr>
        <w:spacing w:before="352"/>
        <w:jc w:val="both"/>
        <w:rPr>
          <w:sz w:val="20"/>
        </w:rPr>
      </w:pPr>
      <w:r>
        <w:rPr>
          <w:b/>
        </w:rPr>
        <w:t>VI.    Product Determination</w:t>
      </w:r>
    </w:p>
    <w:p w14:paraId="4BEB75AD" w14:textId="77777777" w:rsidR="00303994" w:rsidRDefault="00303994" w:rsidP="00303994">
      <w:pPr>
        <w:jc w:val="both"/>
      </w:pPr>
    </w:p>
    <w:p w14:paraId="230E5121" w14:textId="77777777" w:rsidR="00303994" w:rsidRDefault="00303994" w:rsidP="00303994">
      <w:pPr>
        <w:jc w:val="both"/>
        <w:rPr>
          <w:sz w:val="20"/>
        </w:rPr>
      </w:pPr>
      <w:r>
        <w:t xml:space="preserve">     Based on the results of our RCOI and due diligence, the complexity of our supply chain, and the inherent imprecision of reporting information through our supply chain, we cannot confirm whether the 3TG reported to us by our suppliers, some of which may have been sourced from a Covered Country, are in our products. However, we have not identified any instances where 3TG in our products are directly or indirectly financing or benefiting armed groups in the Covered Countries.</w:t>
      </w:r>
    </w:p>
    <w:p w14:paraId="774B2C50" w14:textId="77777777" w:rsidR="00303994" w:rsidRDefault="00303994" w:rsidP="00303994">
      <w:pPr>
        <w:spacing w:before="352"/>
        <w:jc w:val="both"/>
        <w:rPr>
          <w:sz w:val="20"/>
        </w:rPr>
      </w:pPr>
      <w:r>
        <w:rPr>
          <w:b/>
        </w:rPr>
        <w:t>VII.    Appendix</w:t>
      </w:r>
    </w:p>
    <w:p w14:paraId="19EFE44A" w14:textId="77777777" w:rsidR="00303994" w:rsidRDefault="00303994" w:rsidP="00303994">
      <w:pPr>
        <w:ind w:firstLine="792"/>
        <w:jc w:val="both"/>
      </w:pPr>
    </w:p>
    <w:p w14:paraId="23159BAA" w14:textId="77777777" w:rsidR="00303994" w:rsidRDefault="00303994" w:rsidP="00303994">
      <w:pPr>
        <w:jc w:val="both"/>
        <w:rPr>
          <w:sz w:val="20"/>
        </w:rPr>
      </w:pPr>
      <w:r>
        <w:t xml:space="preserve">     Utilizing the information provided by our first-tier suppliers in their CMRT submissions, we compiled a list of SORs that may provide 3TG used in our products. The SOR list is provided as an appendix in this report. However, because most of our suppliers reported 3TG usage at a company-wide level, the information provided by our suppliers, including the identity of the SORs included in the appendix, may relate to non-GM products. In addition, not all our suppliers provided the SOR identity and country of origin information for 3TG. Further, we understand that SORs generally commingle minerals from different mine sources, which may further impair our suppliers’ ability to track the source of 3TG. Accordingly, we cannot confirm the accuracy or completeness of the attached appendix of potential SORs, and we cannot definitively determine the origin of all the 3TG we utilize in our products.</w:t>
      </w:r>
    </w:p>
    <w:p w14:paraId="0F0185C1" w14:textId="77777777" w:rsidR="00303994" w:rsidRDefault="00303994" w:rsidP="00303994">
      <w:pPr>
        <w:spacing w:after="160" w:line="300" w:lineRule="auto"/>
        <w:rPr>
          <w:sz w:val="20"/>
        </w:rPr>
      </w:pPr>
    </w:p>
    <w:p w14:paraId="4874EB0B" w14:textId="77777777" w:rsidR="00303994" w:rsidRDefault="00303994" w:rsidP="00303994">
      <w:pPr>
        <w:pageBreakBefore/>
        <w:jc w:val="center"/>
        <w:rPr>
          <w:sz w:val="20"/>
        </w:rPr>
      </w:pPr>
      <w:r>
        <w:rPr>
          <w:b/>
          <w:u w:val="single"/>
        </w:rPr>
        <w:lastRenderedPageBreak/>
        <w:t>Appendix</w:t>
      </w:r>
    </w:p>
    <w:p w14:paraId="4869EC19" w14:textId="77777777" w:rsidR="00303994" w:rsidRDefault="00303994" w:rsidP="00303994">
      <w:pPr>
        <w:jc w:val="center"/>
      </w:pPr>
    </w:p>
    <w:p w14:paraId="22935287" w14:textId="77777777" w:rsidR="00303994" w:rsidRDefault="00303994" w:rsidP="00303994">
      <w:pPr>
        <w:rPr>
          <w:sz w:val="20"/>
        </w:rPr>
      </w:pPr>
      <w:r>
        <w:rPr>
          <w:b/>
          <w:u w:val="single"/>
        </w:rPr>
        <w:t>All Smelters or Refiners with an "**" below are conformant to the RMAP assessment, or were actively engaged in the program as of 3/11/2022</w:t>
      </w:r>
    </w:p>
    <w:p w14:paraId="08D1B78C" w14:textId="77777777" w:rsidR="00303994" w:rsidRDefault="00303994" w:rsidP="00303994"/>
    <w:p w14:paraId="707B39AB" w14:textId="77777777" w:rsidR="00303994" w:rsidRDefault="00303994" w:rsidP="00303994"/>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6405"/>
        <w:gridCol w:w="2805"/>
      </w:tblGrid>
      <w:tr w:rsidR="00303994" w14:paraId="0D3A0E5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2603DB9" w14:textId="77777777" w:rsidR="00303994" w:rsidRDefault="00303994" w:rsidP="00F0287B">
            <w:pPr>
              <w:spacing w:before="43" w:after="30" w:line="300" w:lineRule="auto"/>
              <w:ind w:left="55"/>
            </w:pPr>
            <w:r>
              <w:rPr>
                <w:b/>
                <w:color w:val="000000"/>
              </w:rPr>
              <w:t>Metal</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12CAB91" w14:textId="77777777" w:rsidR="00303994" w:rsidRDefault="00303994" w:rsidP="00F0287B">
            <w:pPr>
              <w:spacing w:before="43" w:after="30" w:line="300" w:lineRule="auto"/>
              <w:ind w:left="55"/>
            </w:pPr>
            <w:r>
              <w:rPr>
                <w:b/>
                <w:color w:val="000000"/>
              </w:rPr>
              <w:t>Standard Smelter Name</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9BE867C" w14:textId="77777777" w:rsidR="00303994" w:rsidRDefault="00303994" w:rsidP="00F0287B">
            <w:pPr>
              <w:spacing w:before="43" w:after="30" w:line="300" w:lineRule="auto"/>
              <w:ind w:left="55"/>
            </w:pPr>
            <w:r>
              <w:rPr>
                <w:b/>
                <w:color w:val="000000"/>
              </w:rPr>
              <w:t>Smelter Identification</w:t>
            </w:r>
          </w:p>
        </w:tc>
      </w:tr>
      <w:tr w:rsidR="00303994" w14:paraId="58A41A8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4566BB"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C82CF78" w14:textId="77777777" w:rsidR="00303994" w:rsidRDefault="00303994" w:rsidP="00F0287B">
            <w:pPr>
              <w:spacing w:before="43" w:after="30" w:line="300" w:lineRule="auto"/>
              <w:ind w:left="55"/>
            </w:pPr>
            <w:r>
              <w:rPr>
                <w:b/>
                <w:color w:val="454545"/>
              </w:rPr>
              <w:t xml:space="preserve">AMG </w:t>
            </w:r>
            <w:proofErr w:type="spellStart"/>
            <w:r>
              <w:rPr>
                <w:b/>
                <w:color w:val="454545"/>
              </w:rPr>
              <w:t>Brasil</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15DDAEB" w14:textId="77777777" w:rsidR="00303994" w:rsidRDefault="00303994" w:rsidP="00F0287B">
            <w:pPr>
              <w:spacing w:before="43" w:after="30" w:line="300" w:lineRule="auto"/>
              <w:ind w:left="55"/>
            </w:pPr>
            <w:r>
              <w:rPr>
                <w:b/>
                <w:color w:val="454545"/>
              </w:rPr>
              <w:t>CID001076</w:t>
            </w:r>
          </w:p>
        </w:tc>
      </w:tr>
      <w:tr w:rsidR="00303994" w14:paraId="643E4D2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9BD673"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77ECA8D" w14:textId="77777777" w:rsidR="00303994" w:rsidRDefault="00303994" w:rsidP="00F0287B">
            <w:pPr>
              <w:spacing w:before="43" w:after="30" w:line="300" w:lineRule="auto"/>
              <w:ind w:left="55"/>
            </w:pPr>
            <w:r>
              <w:rPr>
                <w:b/>
                <w:color w:val="454545"/>
              </w:rPr>
              <w:t>Changsha South Tantalum Niobium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62D55B9" w14:textId="77777777" w:rsidR="00303994" w:rsidRDefault="00303994" w:rsidP="00F0287B">
            <w:pPr>
              <w:spacing w:before="43" w:after="30" w:line="300" w:lineRule="auto"/>
              <w:ind w:left="55"/>
            </w:pPr>
            <w:r>
              <w:rPr>
                <w:b/>
                <w:color w:val="454545"/>
              </w:rPr>
              <w:t>CID000211</w:t>
            </w:r>
          </w:p>
        </w:tc>
      </w:tr>
      <w:tr w:rsidR="00303994" w14:paraId="4F6D3FF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522E527"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BDD90A" w14:textId="77777777" w:rsidR="00303994" w:rsidRDefault="00303994" w:rsidP="00F0287B">
            <w:pPr>
              <w:spacing w:before="43" w:after="30" w:line="300" w:lineRule="auto"/>
              <w:ind w:left="55"/>
            </w:pPr>
            <w:r>
              <w:rPr>
                <w:b/>
                <w:color w:val="454545"/>
              </w:rPr>
              <w:t>D Block Metals,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C3C469A" w14:textId="77777777" w:rsidR="00303994" w:rsidRDefault="00303994" w:rsidP="00F0287B">
            <w:pPr>
              <w:spacing w:before="43" w:after="30" w:line="300" w:lineRule="auto"/>
              <w:ind w:left="55"/>
            </w:pPr>
            <w:r>
              <w:rPr>
                <w:b/>
                <w:color w:val="454545"/>
              </w:rPr>
              <w:t>CID002504</w:t>
            </w:r>
          </w:p>
        </w:tc>
      </w:tr>
      <w:tr w:rsidR="00303994" w14:paraId="1311FEE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D3C8FAC"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608D42" w14:textId="77777777" w:rsidR="00303994" w:rsidRDefault="00303994" w:rsidP="00F0287B">
            <w:pPr>
              <w:spacing w:before="43" w:after="30" w:line="300" w:lineRule="auto"/>
              <w:ind w:left="55"/>
            </w:pPr>
            <w:proofErr w:type="spellStart"/>
            <w:r>
              <w:rPr>
                <w:b/>
                <w:color w:val="454545"/>
              </w:rPr>
              <w:t>Exotech</w:t>
            </w:r>
            <w:proofErr w:type="spellEnd"/>
            <w:r>
              <w:rPr>
                <w:b/>
                <w:color w:val="454545"/>
              </w:rPr>
              <w:t xml:space="preserve">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E17D34D" w14:textId="77777777" w:rsidR="00303994" w:rsidRDefault="00303994" w:rsidP="00F0287B">
            <w:pPr>
              <w:spacing w:before="43" w:after="30" w:line="300" w:lineRule="auto"/>
              <w:ind w:left="55"/>
            </w:pPr>
            <w:r>
              <w:rPr>
                <w:b/>
                <w:color w:val="454545"/>
              </w:rPr>
              <w:t>CID000456</w:t>
            </w:r>
          </w:p>
        </w:tc>
      </w:tr>
      <w:tr w:rsidR="00303994" w14:paraId="18830ED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46C93CC"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46ED592" w14:textId="77777777" w:rsidR="00303994" w:rsidRDefault="00303994" w:rsidP="00F0287B">
            <w:pPr>
              <w:spacing w:before="43" w:after="30" w:line="300" w:lineRule="auto"/>
              <w:ind w:left="55"/>
            </w:pPr>
            <w:r>
              <w:rPr>
                <w:b/>
                <w:color w:val="454545"/>
              </w:rPr>
              <w:t>F&amp;X Electro-Materials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B04216C" w14:textId="77777777" w:rsidR="00303994" w:rsidRDefault="00303994" w:rsidP="00F0287B">
            <w:pPr>
              <w:spacing w:before="43" w:after="30" w:line="300" w:lineRule="auto"/>
              <w:ind w:left="55"/>
            </w:pPr>
            <w:r>
              <w:rPr>
                <w:b/>
                <w:color w:val="454545"/>
              </w:rPr>
              <w:t>CID000460</w:t>
            </w:r>
          </w:p>
        </w:tc>
      </w:tr>
      <w:tr w:rsidR="00303994" w14:paraId="7626171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6DD2971"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D8BBE00" w14:textId="77777777" w:rsidR="00303994" w:rsidRDefault="00303994" w:rsidP="00F0287B">
            <w:pPr>
              <w:spacing w:before="43" w:after="30" w:line="300" w:lineRule="auto"/>
              <w:ind w:left="55"/>
            </w:pPr>
            <w:r>
              <w:rPr>
                <w:b/>
                <w:color w:val="454545"/>
              </w:rPr>
              <w:t>FIR Metals &amp; Resource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504D9D9" w14:textId="77777777" w:rsidR="00303994" w:rsidRDefault="00303994" w:rsidP="00F0287B">
            <w:pPr>
              <w:spacing w:before="43" w:after="30" w:line="300" w:lineRule="auto"/>
              <w:ind w:left="55"/>
            </w:pPr>
            <w:r>
              <w:rPr>
                <w:b/>
                <w:color w:val="454545"/>
              </w:rPr>
              <w:t>CID002505</w:t>
            </w:r>
          </w:p>
        </w:tc>
      </w:tr>
      <w:tr w:rsidR="00303994" w14:paraId="70B4946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E51F06E"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88182A8" w14:textId="77777777" w:rsidR="00303994" w:rsidRDefault="00303994" w:rsidP="00F0287B">
            <w:pPr>
              <w:spacing w:before="43" w:after="30" w:line="300" w:lineRule="auto"/>
              <w:ind w:left="55"/>
            </w:pPr>
            <w:r>
              <w:rPr>
                <w:b/>
                <w:color w:val="454545"/>
              </w:rPr>
              <w:t>Global Advanced Metals Aizu**</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B7E2094" w14:textId="77777777" w:rsidR="00303994" w:rsidRDefault="00303994" w:rsidP="00F0287B">
            <w:pPr>
              <w:spacing w:before="43" w:after="30" w:line="300" w:lineRule="auto"/>
              <w:ind w:left="55"/>
            </w:pPr>
            <w:r>
              <w:rPr>
                <w:b/>
                <w:color w:val="454545"/>
              </w:rPr>
              <w:t>CID002558</w:t>
            </w:r>
          </w:p>
        </w:tc>
      </w:tr>
      <w:tr w:rsidR="00303994" w14:paraId="57D5F68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AED816"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0A4B0B8" w14:textId="77777777" w:rsidR="00303994" w:rsidRDefault="00303994" w:rsidP="00F0287B">
            <w:pPr>
              <w:spacing w:before="43" w:after="30" w:line="300" w:lineRule="auto"/>
              <w:ind w:left="55"/>
            </w:pPr>
            <w:r>
              <w:rPr>
                <w:b/>
                <w:color w:val="454545"/>
              </w:rPr>
              <w:t>Global Advanced Metals Boyertown**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91C2576" w14:textId="77777777" w:rsidR="00303994" w:rsidRDefault="00303994" w:rsidP="00F0287B">
            <w:pPr>
              <w:spacing w:before="43" w:after="30" w:line="300" w:lineRule="auto"/>
              <w:ind w:left="55"/>
            </w:pPr>
            <w:r>
              <w:rPr>
                <w:b/>
                <w:color w:val="454545"/>
              </w:rPr>
              <w:t>CID002557</w:t>
            </w:r>
          </w:p>
        </w:tc>
      </w:tr>
      <w:tr w:rsidR="00303994" w14:paraId="58D597F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660B752"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65A9CC" w14:textId="77777777" w:rsidR="00303994" w:rsidRDefault="00303994" w:rsidP="00F0287B">
            <w:pPr>
              <w:spacing w:before="43" w:after="30" w:line="300" w:lineRule="auto"/>
              <w:ind w:left="55"/>
            </w:pPr>
            <w:r>
              <w:rPr>
                <w:b/>
                <w:color w:val="454545"/>
              </w:rPr>
              <w:t xml:space="preserve">H.C. </w:t>
            </w:r>
            <w:proofErr w:type="spellStart"/>
            <w:r>
              <w:rPr>
                <w:b/>
                <w:color w:val="454545"/>
              </w:rPr>
              <w:t>Starck</w:t>
            </w:r>
            <w:proofErr w:type="spellEnd"/>
            <w:r>
              <w:rPr>
                <w:b/>
                <w:color w:val="454545"/>
              </w:rPr>
              <w:t xml:space="preserve"> </w:t>
            </w:r>
            <w:proofErr w:type="spellStart"/>
            <w:r>
              <w:rPr>
                <w:b/>
                <w:color w:val="454545"/>
              </w:rPr>
              <w:t>Hermsdorf</w:t>
            </w:r>
            <w:proofErr w:type="spellEnd"/>
            <w:r>
              <w:rPr>
                <w:b/>
                <w:color w:val="454545"/>
              </w:rPr>
              <w:t xml:space="preserve">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22FA4E4" w14:textId="77777777" w:rsidR="00303994" w:rsidRDefault="00303994" w:rsidP="00F0287B">
            <w:pPr>
              <w:spacing w:before="43" w:after="30" w:line="300" w:lineRule="auto"/>
              <w:ind w:left="55"/>
            </w:pPr>
            <w:r>
              <w:rPr>
                <w:b/>
                <w:color w:val="454545"/>
              </w:rPr>
              <w:t>CID002547</w:t>
            </w:r>
          </w:p>
        </w:tc>
      </w:tr>
      <w:tr w:rsidR="00303994" w14:paraId="4E5B2CF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34CAF6"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5AF11F" w14:textId="77777777" w:rsidR="00303994" w:rsidRDefault="00303994" w:rsidP="00F0287B">
            <w:pPr>
              <w:spacing w:before="43" w:after="30" w:line="300" w:lineRule="auto"/>
              <w:ind w:left="55"/>
            </w:pPr>
            <w:r>
              <w:rPr>
                <w:b/>
                <w:color w:val="454545"/>
              </w:rPr>
              <w:t xml:space="preserve">H.C. </w:t>
            </w:r>
            <w:proofErr w:type="spellStart"/>
            <w:r>
              <w:rPr>
                <w:b/>
                <w:color w:val="454545"/>
              </w:rPr>
              <w:t>Starck</w:t>
            </w:r>
            <w:proofErr w:type="spellEnd"/>
            <w:r>
              <w:rPr>
                <w:b/>
                <w:color w:val="454545"/>
              </w:rPr>
              <w:t xml:space="preserve">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CE0FD1E" w14:textId="77777777" w:rsidR="00303994" w:rsidRDefault="00303994" w:rsidP="00F0287B">
            <w:pPr>
              <w:spacing w:before="43" w:after="30" w:line="300" w:lineRule="auto"/>
              <w:ind w:left="55"/>
            </w:pPr>
            <w:r>
              <w:rPr>
                <w:b/>
                <w:color w:val="454545"/>
              </w:rPr>
              <w:t>CID002548</w:t>
            </w:r>
          </w:p>
        </w:tc>
      </w:tr>
      <w:tr w:rsidR="00303994" w14:paraId="725EFBC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D98528"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D61F8E" w14:textId="77777777" w:rsidR="00303994" w:rsidRDefault="00303994" w:rsidP="00F0287B">
            <w:pPr>
              <w:spacing w:before="43" w:after="30" w:line="300" w:lineRule="auto"/>
              <w:ind w:left="55"/>
            </w:pPr>
            <w:r>
              <w:rPr>
                <w:b/>
                <w:color w:val="454545"/>
              </w:rPr>
              <w:t xml:space="preserve">Hengyang King Xing </w:t>
            </w:r>
            <w:proofErr w:type="spellStart"/>
            <w:r>
              <w:rPr>
                <w:b/>
                <w:color w:val="454545"/>
              </w:rPr>
              <w:t>Lifeng</w:t>
            </w:r>
            <w:proofErr w:type="spellEnd"/>
            <w:r>
              <w:rPr>
                <w:b/>
                <w:color w:val="454545"/>
              </w:rPr>
              <w:t xml:space="preserve"> New Materials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2856421" w14:textId="77777777" w:rsidR="00303994" w:rsidRDefault="00303994" w:rsidP="00F0287B">
            <w:pPr>
              <w:spacing w:before="43" w:after="30" w:line="300" w:lineRule="auto"/>
              <w:ind w:left="55"/>
            </w:pPr>
            <w:r>
              <w:rPr>
                <w:b/>
                <w:color w:val="454545"/>
              </w:rPr>
              <w:t>CID002492</w:t>
            </w:r>
          </w:p>
        </w:tc>
      </w:tr>
      <w:tr w:rsidR="00303994" w14:paraId="045D582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0EE37E5"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DE318FF" w14:textId="77777777" w:rsidR="00303994" w:rsidRDefault="00303994" w:rsidP="00F0287B">
            <w:pPr>
              <w:spacing w:before="43" w:after="30" w:line="300" w:lineRule="auto"/>
              <w:ind w:left="55"/>
            </w:pPr>
            <w:r>
              <w:rPr>
                <w:b/>
                <w:color w:val="454545"/>
              </w:rPr>
              <w:t xml:space="preserve">Jiangxi </w:t>
            </w:r>
            <w:proofErr w:type="spellStart"/>
            <w:r>
              <w:rPr>
                <w:b/>
                <w:color w:val="454545"/>
              </w:rPr>
              <w:t>Dinghai</w:t>
            </w:r>
            <w:proofErr w:type="spellEnd"/>
            <w:r>
              <w:rPr>
                <w:b/>
                <w:color w:val="454545"/>
              </w:rPr>
              <w:t xml:space="preserve"> Tantalum &amp; Niobium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C42A914" w14:textId="77777777" w:rsidR="00303994" w:rsidRDefault="00303994" w:rsidP="00F0287B">
            <w:pPr>
              <w:spacing w:before="43" w:after="30" w:line="300" w:lineRule="auto"/>
              <w:ind w:left="55"/>
            </w:pPr>
            <w:r>
              <w:rPr>
                <w:b/>
                <w:color w:val="454545"/>
              </w:rPr>
              <w:t>CID002512</w:t>
            </w:r>
          </w:p>
        </w:tc>
      </w:tr>
      <w:tr w:rsidR="00303994" w14:paraId="0FF5A42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C0CB67B"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C13106" w14:textId="77777777" w:rsidR="00303994" w:rsidRDefault="00303994" w:rsidP="00F0287B">
            <w:pPr>
              <w:spacing w:before="43" w:after="30" w:line="300" w:lineRule="auto"/>
              <w:ind w:left="55"/>
            </w:pPr>
            <w:r>
              <w:rPr>
                <w:b/>
                <w:color w:val="454545"/>
              </w:rPr>
              <w:t xml:space="preserve">Jiangxi </w:t>
            </w:r>
            <w:proofErr w:type="spellStart"/>
            <w:r>
              <w:rPr>
                <w:b/>
                <w:color w:val="454545"/>
              </w:rPr>
              <w:t>Tuohong</w:t>
            </w:r>
            <w:proofErr w:type="spellEnd"/>
            <w:r>
              <w:rPr>
                <w:b/>
                <w:color w:val="454545"/>
              </w:rPr>
              <w:t xml:space="preserve"> New Raw Material**</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48290B1" w14:textId="77777777" w:rsidR="00303994" w:rsidRDefault="00303994" w:rsidP="00F0287B">
            <w:pPr>
              <w:spacing w:before="43" w:after="30" w:line="300" w:lineRule="auto"/>
              <w:ind w:left="55"/>
            </w:pPr>
            <w:r>
              <w:rPr>
                <w:b/>
                <w:color w:val="454545"/>
              </w:rPr>
              <w:t>CID002842</w:t>
            </w:r>
          </w:p>
        </w:tc>
      </w:tr>
      <w:tr w:rsidR="00303994" w14:paraId="53C0FD0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A73B71"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A03EA1" w14:textId="77777777" w:rsidR="00303994" w:rsidRDefault="00303994" w:rsidP="00F0287B">
            <w:pPr>
              <w:spacing w:before="43" w:after="30" w:line="300" w:lineRule="auto"/>
              <w:ind w:left="55"/>
            </w:pPr>
            <w:proofErr w:type="spellStart"/>
            <w:r>
              <w:rPr>
                <w:b/>
                <w:color w:val="454545"/>
              </w:rPr>
              <w:t>JiuJiang</w:t>
            </w:r>
            <w:proofErr w:type="spellEnd"/>
            <w:r>
              <w:rPr>
                <w:b/>
                <w:color w:val="454545"/>
              </w:rPr>
              <w:t xml:space="preserve"> </w:t>
            </w:r>
            <w:proofErr w:type="spellStart"/>
            <w:r>
              <w:rPr>
                <w:b/>
                <w:color w:val="454545"/>
              </w:rPr>
              <w:t>JinXin</w:t>
            </w:r>
            <w:proofErr w:type="spellEnd"/>
            <w:r>
              <w:rPr>
                <w:b/>
                <w:color w:val="454545"/>
              </w:rPr>
              <w:t xml:space="preserve"> Nonferrous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58FABDC" w14:textId="77777777" w:rsidR="00303994" w:rsidRDefault="00303994" w:rsidP="00F0287B">
            <w:pPr>
              <w:spacing w:before="43" w:after="30" w:line="300" w:lineRule="auto"/>
              <w:ind w:left="55"/>
            </w:pPr>
            <w:r>
              <w:rPr>
                <w:b/>
                <w:color w:val="454545"/>
              </w:rPr>
              <w:t>CID000914</w:t>
            </w:r>
          </w:p>
        </w:tc>
      </w:tr>
      <w:tr w:rsidR="00303994" w14:paraId="22A14B6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DB8A54E"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FAA630D" w14:textId="77777777" w:rsidR="00303994" w:rsidRDefault="00303994" w:rsidP="00F0287B">
            <w:pPr>
              <w:spacing w:before="43" w:after="30" w:line="300" w:lineRule="auto"/>
              <w:ind w:left="55"/>
            </w:pPr>
            <w:proofErr w:type="spellStart"/>
            <w:r>
              <w:rPr>
                <w:b/>
                <w:color w:val="454545"/>
              </w:rPr>
              <w:t>Jiujiang</w:t>
            </w:r>
            <w:proofErr w:type="spellEnd"/>
            <w:r>
              <w:rPr>
                <w:b/>
                <w:color w:val="454545"/>
              </w:rPr>
              <w:t xml:space="preserve"> </w:t>
            </w:r>
            <w:proofErr w:type="spellStart"/>
            <w:r>
              <w:rPr>
                <w:b/>
                <w:color w:val="454545"/>
              </w:rPr>
              <w:t>Tanbre</w:t>
            </w:r>
            <w:proofErr w:type="spellEnd"/>
            <w:r>
              <w:rPr>
                <w:b/>
                <w:color w:val="454545"/>
              </w:rPr>
              <w:t xml:space="preserv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6A6A8A9" w14:textId="77777777" w:rsidR="00303994" w:rsidRDefault="00303994" w:rsidP="00F0287B">
            <w:pPr>
              <w:spacing w:before="43" w:after="30" w:line="300" w:lineRule="auto"/>
              <w:ind w:left="55"/>
            </w:pPr>
            <w:r>
              <w:rPr>
                <w:b/>
                <w:color w:val="454545"/>
              </w:rPr>
              <w:t>CID000917</w:t>
            </w:r>
          </w:p>
        </w:tc>
      </w:tr>
      <w:tr w:rsidR="00303994" w14:paraId="51D4EDE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0D6EA31"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FE3149E" w14:textId="77777777" w:rsidR="00303994" w:rsidRDefault="00303994" w:rsidP="00F0287B">
            <w:pPr>
              <w:spacing w:before="43" w:after="30" w:line="300" w:lineRule="auto"/>
              <w:ind w:left="55"/>
            </w:pPr>
            <w:proofErr w:type="spellStart"/>
            <w:r>
              <w:rPr>
                <w:b/>
                <w:color w:val="454545"/>
              </w:rPr>
              <w:t>Jiujiang</w:t>
            </w:r>
            <w:proofErr w:type="spellEnd"/>
            <w:r>
              <w:rPr>
                <w:b/>
                <w:color w:val="454545"/>
              </w:rPr>
              <w:t xml:space="preserve"> </w:t>
            </w:r>
            <w:proofErr w:type="spellStart"/>
            <w:r>
              <w:rPr>
                <w:b/>
                <w:color w:val="454545"/>
              </w:rPr>
              <w:t>Zhongao</w:t>
            </w:r>
            <w:proofErr w:type="spellEnd"/>
            <w:r>
              <w:rPr>
                <w:b/>
                <w:color w:val="454545"/>
              </w:rPr>
              <w:t xml:space="preserve"> Tantalum &amp; Niobium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59AE1CA" w14:textId="77777777" w:rsidR="00303994" w:rsidRDefault="00303994" w:rsidP="00F0287B">
            <w:pPr>
              <w:spacing w:before="43" w:after="30" w:line="300" w:lineRule="auto"/>
              <w:ind w:left="55"/>
            </w:pPr>
            <w:r>
              <w:rPr>
                <w:b/>
                <w:color w:val="454545"/>
              </w:rPr>
              <w:t>CID002506</w:t>
            </w:r>
          </w:p>
        </w:tc>
      </w:tr>
      <w:tr w:rsidR="00303994" w14:paraId="2EEFA34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B7A9EE"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0FF08B2" w14:textId="77777777" w:rsidR="00303994" w:rsidRDefault="00303994" w:rsidP="00F0287B">
            <w:pPr>
              <w:spacing w:before="43" w:after="30" w:line="300" w:lineRule="auto"/>
              <w:ind w:left="55"/>
            </w:pPr>
            <w:r>
              <w:rPr>
                <w:b/>
                <w:color w:val="454545"/>
              </w:rPr>
              <w:t>KEMET de Mexico**</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2FD6A9B" w14:textId="77777777" w:rsidR="00303994" w:rsidRDefault="00303994" w:rsidP="00F0287B">
            <w:pPr>
              <w:spacing w:before="43" w:after="30" w:line="300" w:lineRule="auto"/>
              <w:ind w:left="55"/>
            </w:pPr>
            <w:r>
              <w:rPr>
                <w:b/>
                <w:color w:val="454545"/>
              </w:rPr>
              <w:t>CID002539</w:t>
            </w:r>
          </w:p>
        </w:tc>
      </w:tr>
      <w:tr w:rsidR="00303994" w14:paraId="470A674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570AD8"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47E194" w14:textId="77777777" w:rsidR="00303994" w:rsidRDefault="00303994" w:rsidP="00F0287B">
            <w:pPr>
              <w:spacing w:before="43" w:after="30" w:line="300" w:lineRule="auto"/>
              <w:ind w:left="55"/>
            </w:pPr>
            <w:r>
              <w:rPr>
                <w:b/>
                <w:color w:val="454545"/>
              </w:rPr>
              <w:t>Metallurgical Products India Pvt.,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8A5ADD4" w14:textId="77777777" w:rsidR="00303994" w:rsidRDefault="00303994" w:rsidP="00F0287B">
            <w:pPr>
              <w:spacing w:before="43" w:after="30" w:line="300" w:lineRule="auto"/>
              <w:ind w:left="55"/>
            </w:pPr>
            <w:r>
              <w:rPr>
                <w:b/>
                <w:color w:val="454545"/>
              </w:rPr>
              <w:t>CID001163</w:t>
            </w:r>
          </w:p>
        </w:tc>
      </w:tr>
      <w:tr w:rsidR="00303994" w14:paraId="0E1F58F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299ACF"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824ECFC" w14:textId="77777777" w:rsidR="00303994" w:rsidRDefault="00303994" w:rsidP="00F0287B">
            <w:pPr>
              <w:spacing w:before="43" w:after="30" w:line="300" w:lineRule="auto"/>
              <w:ind w:left="55"/>
            </w:pPr>
            <w:proofErr w:type="spellStart"/>
            <w:r>
              <w:rPr>
                <w:b/>
                <w:color w:val="454545"/>
              </w:rPr>
              <w:t>Mineracao</w:t>
            </w:r>
            <w:proofErr w:type="spellEnd"/>
            <w:r>
              <w:rPr>
                <w:b/>
                <w:color w:val="454545"/>
              </w:rPr>
              <w:t xml:space="preserve"> </w:t>
            </w:r>
            <w:proofErr w:type="spellStart"/>
            <w:r>
              <w:rPr>
                <w:b/>
                <w:color w:val="454545"/>
              </w:rPr>
              <w:t>Taboca</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A46E12" w14:textId="77777777" w:rsidR="00303994" w:rsidRDefault="00303994" w:rsidP="00F0287B">
            <w:pPr>
              <w:spacing w:before="43" w:after="30" w:line="300" w:lineRule="auto"/>
              <w:ind w:left="55"/>
            </w:pPr>
            <w:r>
              <w:rPr>
                <w:b/>
                <w:color w:val="454545"/>
              </w:rPr>
              <w:t>CID001175</w:t>
            </w:r>
          </w:p>
        </w:tc>
      </w:tr>
      <w:tr w:rsidR="00303994" w14:paraId="18B18BD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A3FC6D"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17CA80" w14:textId="77777777" w:rsidR="00303994" w:rsidRDefault="00303994" w:rsidP="00F0287B">
            <w:pPr>
              <w:spacing w:before="43" w:after="30" w:line="300" w:lineRule="auto"/>
              <w:ind w:left="55"/>
            </w:pPr>
            <w:r>
              <w:rPr>
                <w:b/>
                <w:color w:val="454545"/>
              </w:rPr>
              <w:t>Mitsui Mining and Smelting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CC04F5E" w14:textId="77777777" w:rsidR="00303994" w:rsidRDefault="00303994" w:rsidP="00F0287B">
            <w:pPr>
              <w:spacing w:before="43" w:after="30" w:line="300" w:lineRule="auto"/>
              <w:ind w:left="55"/>
            </w:pPr>
            <w:r>
              <w:rPr>
                <w:b/>
                <w:color w:val="454545"/>
              </w:rPr>
              <w:t>CID001192</w:t>
            </w:r>
          </w:p>
        </w:tc>
      </w:tr>
      <w:tr w:rsidR="00303994" w14:paraId="57EA353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E4E5D8B"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F677E4E" w14:textId="77777777" w:rsidR="00303994" w:rsidRDefault="00303994" w:rsidP="00F0287B">
            <w:pPr>
              <w:spacing w:before="43" w:after="30" w:line="300" w:lineRule="auto"/>
              <w:ind w:left="55"/>
            </w:pPr>
            <w:r>
              <w:rPr>
                <w:b/>
                <w:color w:val="454545"/>
              </w:rPr>
              <w:t>Ningxia Orient Tantalum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06543E3" w14:textId="77777777" w:rsidR="00303994" w:rsidRDefault="00303994" w:rsidP="00F0287B">
            <w:pPr>
              <w:spacing w:before="43" w:after="30" w:line="300" w:lineRule="auto"/>
              <w:ind w:left="55"/>
            </w:pPr>
            <w:r>
              <w:rPr>
                <w:b/>
                <w:color w:val="454545"/>
              </w:rPr>
              <w:t>CID001277</w:t>
            </w:r>
          </w:p>
        </w:tc>
      </w:tr>
      <w:tr w:rsidR="00303994" w14:paraId="3C1B5E0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F08E323"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FE933A" w14:textId="77777777" w:rsidR="00303994" w:rsidRDefault="00303994" w:rsidP="00F0287B">
            <w:pPr>
              <w:spacing w:before="43" w:after="30" w:line="300" w:lineRule="auto"/>
              <w:ind w:left="55"/>
            </w:pPr>
            <w:r>
              <w:rPr>
                <w:b/>
                <w:color w:val="454545"/>
              </w:rPr>
              <w:t xml:space="preserve">NPM </w:t>
            </w:r>
            <w:proofErr w:type="spellStart"/>
            <w:r>
              <w:rPr>
                <w:b/>
                <w:color w:val="454545"/>
              </w:rPr>
              <w:t>Silmet</w:t>
            </w:r>
            <w:proofErr w:type="spellEnd"/>
            <w:r>
              <w:rPr>
                <w:b/>
                <w:color w:val="454545"/>
              </w:rPr>
              <w:t xml:space="preserve"> AS**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62E5EC" w14:textId="77777777" w:rsidR="00303994" w:rsidRDefault="00303994" w:rsidP="00F0287B">
            <w:pPr>
              <w:spacing w:before="43" w:after="30" w:line="300" w:lineRule="auto"/>
              <w:ind w:left="55"/>
            </w:pPr>
            <w:r>
              <w:rPr>
                <w:b/>
                <w:color w:val="454545"/>
              </w:rPr>
              <w:t>CID001200</w:t>
            </w:r>
          </w:p>
        </w:tc>
      </w:tr>
      <w:tr w:rsidR="00303994" w14:paraId="3711404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0F25350"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B72DCB5" w14:textId="77777777" w:rsidR="00303994" w:rsidRDefault="00303994" w:rsidP="00F0287B">
            <w:pPr>
              <w:spacing w:before="43" w:after="30" w:line="300" w:lineRule="auto"/>
              <w:ind w:left="55"/>
            </w:pPr>
            <w:proofErr w:type="spellStart"/>
            <w:r>
              <w:rPr>
                <w:b/>
                <w:color w:val="454545"/>
              </w:rPr>
              <w:t>QuantumClean</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089F1E2" w14:textId="77777777" w:rsidR="00303994" w:rsidRDefault="00303994" w:rsidP="00F0287B">
            <w:pPr>
              <w:spacing w:before="43" w:after="30" w:line="300" w:lineRule="auto"/>
              <w:ind w:left="55"/>
            </w:pPr>
            <w:r>
              <w:rPr>
                <w:b/>
                <w:color w:val="454545"/>
              </w:rPr>
              <w:t>CID001508</w:t>
            </w:r>
          </w:p>
        </w:tc>
      </w:tr>
      <w:tr w:rsidR="00303994" w14:paraId="1BD6659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DC6B3E"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20AF5E0" w14:textId="77777777" w:rsidR="00303994" w:rsidRDefault="00303994" w:rsidP="00F0287B">
            <w:pPr>
              <w:spacing w:before="43" w:after="30" w:line="300" w:lineRule="auto"/>
              <w:ind w:left="55"/>
            </w:pPr>
            <w:proofErr w:type="spellStart"/>
            <w:r>
              <w:rPr>
                <w:b/>
                <w:color w:val="454545"/>
              </w:rPr>
              <w:t>Resind</w:t>
            </w:r>
            <w:proofErr w:type="spellEnd"/>
            <w:r>
              <w:rPr>
                <w:b/>
                <w:color w:val="454545"/>
              </w:rPr>
              <w:t xml:space="preserve"> </w:t>
            </w:r>
            <w:proofErr w:type="spellStart"/>
            <w:r>
              <w:rPr>
                <w:b/>
                <w:color w:val="454545"/>
              </w:rPr>
              <w:t>Industria</w:t>
            </w:r>
            <w:proofErr w:type="spellEnd"/>
            <w:r>
              <w:rPr>
                <w:b/>
                <w:color w:val="454545"/>
              </w:rPr>
              <w:t xml:space="preserve"> e Comercio Ltda.**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9876FBD" w14:textId="77777777" w:rsidR="00303994" w:rsidRDefault="00303994" w:rsidP="00F0287B">
            <w:pPr>
              <w:spacing w:before="43" w:after="30" w:line="300" w:lineRule="auto"/>
              <w:ind w:left="55"/>
            </w:pPr>
            <w:r>
              <w:rPr>
                <w:b/>
                <w:color w:val="454545"/>
              </w:rPr>
              <w:t>CID002707</w:t>
            </w:r>
          </w:p>
        </w:tc>
      </w:tr>
      <w:tr w:rsidR="00303994" w14:paraId="625BD08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B038FEC"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B50A35" w14:textId="77777777" w:rsidR="00303994" w:rsidRDefault="00303994" w:rsidP="00F0287B">
            <w:pPr>
              <w:spacing w:before="43" w:after="30" w:line="300" w:lineRule="auto"/>
              <w:ind w:left="55"/>
            </w:pPr>
            <w:r>
              <w:rPr>
                <w:b/>
                <w:color w:val="454545"/>
              </w:rPr>
              <w:t xml:space="preserve">RFH Yancheng </w:t>
            </w:r>
            <w:proofErr w:type="spellStart"/>
            <w:r>
              <w:rPr>
                <w:b/>
                <w:color w:val="454545"/>
              </w:rPr>
              <w:t>Jinye</w:t>
            </w:r>
            <w:proofErr w:type="spellEnd"/>
            <w:r>
              <w:rPr>
                <w:b/>
                <w:color w:val="454545"/>
              </w:rPr>
              <w:t xml:space="preserve"> New Material Technology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65552F2" w14:textId="77777777" w:rsidR="00303994" w:rsidRDefault="00303994" w:rsidP="00F0287B">
            <w:pPr>
              <w:spacing w:before="43" w:after="30" w:line="300" w:lineRule="auto"/>
              <w:ind w:left="55"/>
            </w:pPr>
            <w:r>
              <w:rPr>
                <w:b/>
                <w:color w:val="454545"/>
              </w:rPr>
              <w:t>CID003583</w:t>
            </w:r>
          </w:p>
        </w:tc>
      </w:tr>
      <w:tr w:rsidR="00303994" w14:paraId="51793DB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75B90E0"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ED1C64F" w14:textId="77777777" w:rsidR="00303994" w:rsidRDefault="00303994" w:rsidP="00F0287B">
            <w:pPr>
              <w:spacing w:before="43" w:after="30" w:line="300" w:lineRule="auto"/>
              <w:ind w:left="55"/>
            </w:pPr>
            <w:proofErr w:type="spellStart"/>
            <w:r>
              <w:rPr>
                <w:b/>
                <w:color w:val="454545"/>
              </w:rPr>
              <w:t>Solikamsk</w:t>
            </w:r>
            <w:proofErr w:type="spellEnd"/>
            <w:r>
              <w:rPr>
                <w:b/>
                <w:color w:val="454545"/>
              </w:rPr>
              <w:t xml:space="preserve"> Magnesium Works OAO**</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0B16B97" w14:textId="77777777" w:rsidR="00303994" w:rsidRDefault="00303994" w:rsidP="00F0287B">
            <w:pPr>
              <w:spacing w:before="43" w:after="30" w:line="300" w:lineRule="auto"/>
              <w:ind w:left="55"/>
            </w:pPr>
            <w:r>
              <w:rPr>
                <w:b/>
                <w:color w:val="454545"/>
              </w:rPr>
              <w:t>CID001769</w:t>
            </w:r>
          </w:p>
        </w:tc>
      </w:tr>
      <w:tr w:rsidR="00303994" w14:paraId="0E635A6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342A393"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E8A1A6B" w14:textId="77777777" w:rsidR="00303994" w:rsidRDefault="00303994" w:rsidP="00F0287B">
            <w:pPr>
              <w:spacing w:before="43" w:after="30" w:line="300" w:lineRule="auto"/>
              <w:ind w:left="55"/>
            </w:pPr>
            <w:r>
              <w:rPr>
                <w:b/>
                <w:color w:val="454545"/>
              </w:rPr>
              <w:t>Taki Chemical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3243072" w14:textId="77777777" w:rsidR="00303994" w:rsidRDefault="00303994" w:rsidP="00F0287B">
            <w:pPr>
              <w:spacing w:before="43" w:after="30" w:line="300" w:lineRule="auto"/>
              <w:ind w:left="55"/>
            </w:pPr>
            <w:r>
              <w:rPr>
                <w:b/>
                <w:color w:val="454545"/>
              </w:rPr>
              <w:t>CID001869</w:t>
            </w:r>
          </w:p>
        </w:tc>
      </w:tr>
      <w:tr w:rsidR="00303994" w14:paraId="4C918AC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48F3AB2"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5CB7104" w14:textId="77777777" w:rsidR="00303994" w:rsidRDefault="00303994" w:rsidP="00F0287B">
            <w:pPr>
              <w:spacing w:before="43" w:after="30" w:line="300" w:lineRule="auto"/>
              <w:ind w:left="55"/>
            </w:pPr>
            <w:r>
              <w:rPr>
                <w:b/>
                <w:color w:val="454545"/>
              </w:rPr>
              <w:t>TANIOBIS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8BB82B0" w14:textId="77777777" w:rsidR="00303994" w:rsidRDefault="00303994" w:rsidP="00F0287B">
            <w:pPr>
              <w:spacing w:before="43" w:after="30" w:line="300" w:lineRule="auto"/>
              <w:ind w:left="55"/>
            </w:pPr>
            <w:r>
              <w:rPr>
                <w:b/>
                <w:color w:val="454545"/>
              </w:rPr>
              <w:t>CID002544</w:t>
            </w:r>
          </w:p>
        </w:tc>
      </w:tr>
      <w:tr w:rsidR="00303994" w14:paraId="2683CBD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685E36A"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9721B4B" w14:textId="77777777" w:rsidR="00303994" w:rsidRDefault="00303994" w:rsidP="00F0287B">
            <w:pPr>
              <w:spacing w:before="43" w:after="30" w:line="300" w:lineRule="auto"/>
              <w:ind w:left="55"/>
            </w:pPr>
            <w:r>
              <w:rPr>
                <w:b/>
                <w:color w:val="454545"/>
              </w:rPr>
              <w:t>TANIOBIS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98DF885" w14:textId="77777777" w:rsidR="00303994" w:rsidRDefault="00303994" w:rsidP="00F0287B">
            <w:pPr>
              <w:spacing w:before="43" w:after="30" w:line="300" w:lineRule="auto"/>
              <w:ind w:left="55"/>
            </w:pPr>
            <w:r>
              <w:rPr>
                <w:b/>
                <w:color w:val="454545"/>
              </w:rPr>
              <w:t>CID002545</w:t>
            </w:r>
          </w:p>
        </w:tc>
      </w:tr>
      <w:tr w:rsidR="00303994" w14:paraId="75EA6A5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303341"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92AFBE9" w14:textId="77777777" w:rsidR="00303994" w:rsidRDefault="00303994" w:rsidP="00F0287B">
            <w:pPr>
              <w:spacing w:before="43" w:after="30" w:line="300" w:lineRule="auto"/>
              <w:ind w:left="55"/>
            </w:pPr>
            <w:r>
              <w:rPr>
                <w:b/>
                <w:color w:val="454545"/>
              </w:rPr>
              <w:t>TANIOBIS Japan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10EF56F" w14:textId="77777777" w:rsidR="00303994" w:rsidRDefault="00303994" w:rsidP="00F0287B">
            <w:pPr>
              <w:spacing w:before="43" w:after="30" w:line="300" w:lineRule="auto"/>
              <w:ind w:left="55"/>
            </w:pPr>
            <w:r>
              <w:rPr>
                <w:b/>
                <w:color w:val="454545"/>
              </w:rPr>
              <w:t>CID002549</w:t>
            </w:r>
          </w:p>
        </w:tc>
      </w:tr>
      <w:tr w:rsidR="00303994" w14:paraId="55F3A44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FF0664"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EA5025F" w14:textId="77777777" w:rsidR="00303994" w:rsidRDefault="00303994" w:rsidP="00F0287B">
            <w:pPr>
              <w:spacing w:before="43" w:after="30" w:line="300" w:lineRule="auto"/>
              <w:ind w:left="55"/>
            </w:pPr>
            <w:r>
              <w:rPr>
                <w:b/>
                <w:color w:val="454545"/>
              </w:rPr>
              <w:t>TANIOBIS Smelting GmbH &amp; Co. KG**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B58BA66" w14:textId="77777777" w:rsidR="00303994" w:rsidRDefault="00303994" w:rsidP="00F0287B">
            <w:pPr>
              <w:spacing w:before="43" w:after="30" w:line="300" w:lineRule="auto"/>
              <w:ind w:left="55"/>
            </w:pPr>
            <w:r>
              <w:rPr>
                <w:b/>
                <w:color w:val="454545"/>
              </w:rPr>
              <w:t>CID002550</w:t>
            </w:r>
          </w:p>
        </w:tc>
      </w:tr>
      <w:tr w:rsidR="00303994" w14:paraId="21BB3C9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EF16392"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D85D1F3" w14:textId="77777777" w:rsidR="00303994" w:rsidRDefault="00303994" w:rsidP="00F0287B">
            <w:pPr>
              <w:spacing w:before="43" w:after="30" w:line="300" w:lineRule="auto"/>
              <w:ind w:left="55"/>
            </w:pPr>
            <w:r>
              <w:rPr>
                <w:b/>
                <w:color w:val="454545"/>
              </w:rPr>
              <w:t>Telex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1D41F22" w14:textId="77777777" w:rsidR="00303994" w:rsidRDefault="00303994" w:rsidP="00F0287B">
            <w:pPr>
              <w:spacing w:before="43" w:after="30" w:line="300" w:lineRule="auto"/>
              <w:ind w:left="55"/>
            </w:pPr>
            <w:r>
              <w:rPr>
                <w:b/>
                <w:color w:val="454545"/>
              </w:rPr>
              <w:t>CID001891</w:t>
            </w:r>
          </w:p>
        </w:tc>
      </w:tr>
      <w:tr w:rsidR="00303994" w14:paraId="6364BC3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10FDAC"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E07085" w14:textId="77777777" w:rsidR="00303994" w:rsidRDefault="00303994" w:rsidP="00F0287B">
            <w:pPr>
              <w:spacing w:before="43" w:after="30" w:line="300" w:lineRule="auto"/>
              <w:ind w:left="55"/>
            </w:pPr>
            <w:proofErr w:type="spellStart"/>
            <w:r>
              <w:rPr>
                <w:b/>
                <w:color w:val="454545"/>
              </w:rPr>
              <w:t>Ulba</w:t>
            </w:r>
            <w:proofErr w:type="spellEnd"/>
            <w:r>
              <w:rPr>
                <w:b/>
                <w:color w:val="454545"/>
              </w:rPr>
              <w:t xml:space="preserve"> Metallurgical Plant JSC**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A4991A2" w14:textId="77777777" w:rsidR="00303994" w:rsidRDefault="00303994" w:rsidP="00F0287B">
            <w:pPr>
              <w:spacing w:before="43" w:after="30" w:line="300" w:lineRule="auto"/>
              <w:ind w:left="55"/>
            </w:pPr>
            <w:r>
              <w:rPr>
                <w:b/>
                <w:color w:val="454545"/>
              </w:rPr>
              <w:t>CID001969</w:t>
            </w:r>
          </w:p>
        </w:tc>
      </w:tr>
      <w:tr w:rsidR="00303994" w14:paraId="729E6E3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960F1B"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9CE5952" w14:textId="77777777" w:rsidR="00303994" w:rsidRDefault="00303994" w:rsidP="00F0287B">
            <w:pPr>
              <w:spacing w:before="43" w:after="30" w:line="300" w:lineRule="auto"/>
              <w:ind w:left="55"/>
            </w:pPr>
            <w:r>
              <w:rPr>
                <w:b/>
                <w:color w:val="454545"/>
              </w:rPr>
              <w:t>XIMEI RESOURCES (GUANGDONG) LIMITED**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C4588D0" w14:textId="77777777" w:rsidR="00303994" w:rsidRDefault="00303994" w:rsidP="00F0287B">
            <w:pPr>
              <w:spacing w:before="43" w:after="30" w:line="300" w:lineRule="auto"/>
              <w:ind w:left="55"/>
            </w:pPr>
            <w:r>
              <w:rPr>
                <w:b/>
                <w:color w:val="454545"/>
              </w:rPr>
              <w:t>CID000616</w:t>
            </w:r>
          </w:p>
        </w:tc>
      </w:tr>
      <w:tr w:rsidR="00303994" w14:paraId="313FBBB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2F778AB"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DD0A9E" w14:textId="77777777" w:rsidR="00303994" w:rsidRDefault="00303994" w:rsidP="00F0287B">
            <w:pPr>
              <w:spacing w:before="43" w:after="30" w:line="300" w:lineRule="auto"/>
              <w:ind w:left="55"/>
            </w:pPr>
            <w:proofErr w:type="spellStart"/>
            <w:r>
              <w:rPr>
                <w:b/>
                <w:color w:val="454545"/>
              </w:rPr>
              <w:t>XinXing</w:t>
            </w:r>
            <w:proofErr w:type="spellEnd"/>
            <w:r>
              <w:rPr>
                <w:b/>
                <w:color w:val="454545"/>
              </w:rPr>
              <w:t xml:space="preserve"> </w:t>
            </w:r>
            <w:proofErr w:type="spellStart"/>
            <w:r>
              <w:rPr>
                <w:b/>
                <w:color w:val="454545"/>
              </w:rPr>
              <w:t>HaoRong</w:t>
            </w:r>
            <w:proofErr w:type="spellEnd"/>
            <w:r>
              <w:rPr>
                <w:b/>
                <w:color w:val="454545"/>
              </w:rPr>
              <w:t xml:space="preserve"> Electronic Material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CED28B6" w14:textId="77777777" w:rsidR="00303994" w:rsidRDefault="00303994" w:rsidP="00F0287B">
            <w:pPr>
              <w:spacing w:before="43" w:after="30" w:line="300" w:lineRule="auto"/>
              <w:ind w:left="55"/>
            </w:pPr>
            <w:r>
              <w:rPr>
                <w:b/>
                <w:color w:val="454545"/>
              </w:rPr>
              <w:t>CID002508</w:t>
            </w:r>
          </w:p>
        </w:tc>
      </w:tr>
      <w:tr w:rsidR="00303994" w14:paraId="3C302A1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12119B" w14:textId="77777777" w:rsidR="00303994" w:rsidRDefault="00303994" w:rsidP="00F0287B">
            <w:pPr>
              <w:spacing w:before="43" w:after="30" w:line="300" w:lineRule="auto"/>
              <w:ind w:left="55"/>
            </w:pPr>
            <w:r>
              <w:rPr>
                <w:b/>
                <w:color w:val="454545"/>
              </w:rPr>
              <w:t>Tantalum</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3A603E" w14:textId="77777777" w:rsidR="00303994" w:rsidRDefault="00303994" w:rsidP="00F0287B">
            <w:pPr>
              <w:spacing w:before="43" w:after="30" w:line="300" w:lineRule="auto"/>
              <w:ind w:left="55"/>
            </w:pPr>
            <w:proofErr w:type="spellStart"/>
            <w:r>
              <w:rPr>
                <w:b/>
                <w:color w:val="454545"/>
              </w:rPr>
              <w:t>Yanling</w:t>
            </w:r>
            <w:proofErr w:type="spellEnd"/>
            <w:r>
              <w:rPr>
                <w:b/>
                <w:color w:val="454545"/>
              </w:rPr>
              <w:t xml:space="preserve"> Jincheng Tantalum &amp; Niobium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78B0AF5" w14:textId="77777777" w:rsidR="00303994" w:rsidRDefault="00303994" w:rsidP="00F0287B">
            <w:pPr>
              <w:spacing w:before="43" w:after="30" w:line="300" w:lineRule="auto"/>
              <w:ind w:left="55"/>
            </w:pPr>
            <w:r>
              <w:rPr>
                <w:b/>
                <w:color w:val="454545"/>
              </w:rPr>
              <w:t>CID001522</w:t>
            </w:r>
          </w:p>
        </w:tc>
      </w:tr>
      <w:tr w:rsidR="00303994" w14:paraId="27A04AF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ECB0946"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E2F8B42" w14:textId="77777777" w:rsidR="00303994" w:rsidRDefault="00303994" w:rsidP="00F0287B">
            <w:pPr>
              <w:spacing w:before="43" w:after="30" w:line="300" w:lineRule="auto"/>
              <w:ind w:left="55"/>
            </w:pPr>
            <w:r>
              <w:rPr>
                <w:b/>
                <w:color w:val="454545"/>
              </w:rPr>
              <w:t>Alpha**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0FE5219" w14:textId="77777777" w:rsidR="00303994" w:rsidRDefault="00303994" w:rsidP="00F0287B">
            <w:pPr>
              <w:spacing w:before="43" w:after="30" w:line="300" w:lineRule="auto"/>
              <w:ind w:left="55"/>
            </w:pPr>
            <w:r>
              <w:rPr>
                <w:b/>
                <w:color w:val="454545"/>
              </w:rPr>
              <w:t>CID000292</w:t>
            </w:r>
          </w:p>
        </w:tc>
      </w:tr>
      <w:tr w:rsidR="00303994" w14:paraId="2C84CF4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67F2CA"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DA1728" w14:textId="77777777" w:rsidR="00303994" w:rsidRDefault="00303994" w:rsidP="00F0287B">
            <w:pPr>
              <w:spacing w:before="43" w:after="30" w:line="300" w:lineRule="auto"/>
              <w:ind w:left="55"/>
            </w:pPr>
            <w:r>
              <w:rPr>
                <w:b/>
                <w:color w:val="454545"/>
              </w:rPr>
              <w:t>An Vinh Joint Stock Mineral Processing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2B74953" w14:textId="77777777" w:rsidR="00303994" w:rsidRDefault="00303994" w:rsidP="00F0287B">
            <w:pPr>
              <w:spacing w:before="43" w:after="30" w:line="300" w:lineRule="auto"/>
              <w:ind w:left="55"/>
            </w:pPr>
            <w:r>
              <w:rPr>
                <w:b/>
                <w:color w:val="454545"/>
              </w:rPr>
              <w:t>CID002703</w:t>
            </w:r>
          </w:p>
        </w:tc>
      </w:tr>
      <w:tr w:rsidR="00303994" w14:paraId="314FBB7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E11376D"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883FDD" w14:textId="77777777" w:rsidR="00303994" w:rsidRDefault="00303994" w:rsidP="00F0287B">
            <w:pPr>
              <w:spacing w:before="43" w:after="30" w:line="300" w:lineRule="auto"/>
              <w:ind w:left="55"/>
            </w:pPr>
            <w:proofErr w:type="spellStart"/>
            <w:r>
              <w:rPr>
                <w:b/>
                <w:color w:val="454545"/>
              </w:rPr>
              <w:t>Chenzhou</w:t>
            </w:r>
            <w:proofErr w:type="spellEnd"/>
            <w:r>
              <w:rPr>
                <w:b/>
                <w:color w:val="454545"/>
              </w:rPr>
              <w:t xml:space="preserve"> </w:t>
            </w:r>
            <w:proofErr w:type="spellStart"/>
            <w:r>
              <w:rPr>
                <w:b/>
                <w:color w:val="454545"/>
              </w:rPr>
              <w:t>Yunxiang</w:t>
            </w:r>
            <w:proofErr w:type="spellEnd"/>
            <w:r>
              <w:rPr>
                <w:b/>
                <w:color w:val="454545"/>
              </w:rPr>
              <w:t xml:space="preserve"> Mining and Metallurgy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706F773" w14:textId="77777777" w:rsidR="00303994" w:rsidRDefault="00303994" w:rsidP="00F0287B">
            <w:pPr>
              <w:spacing w:before="43" w:after="30" w:line="300" w:lineRule="auto"/>
              <w:ind w:left="55"/>
            </w:pPr>
            <w:r>
              <w:rPr>
                <w:b/>
                <w:color w:val="454545"/>
              </w:rPr>
              <w:t>CID000228</w:t>
            </w:r>
          </w:p>
        </w:tc>
      </w:tr>
      <w:tr w:rsidR="00303994" w14:paraId="64FFF3A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D8738A"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D559C3" w14:textId="77777777" w:rsidR="00303994" w:rsidRDefault="00303994" w:rsidP="00F0287B">
            <w:pPr>
              <w:spacing w:before="43" w:after="30" w:line="300" w:lineRule="auto"/>
              <w:ind w:left="55"/>
            </w:pPr>
            <w:r>
              <w:rPr>
                <w:b/>
                <w:color w:val="454545"/>
              </w:rPr>
              <w:t xml:space="preserve">Chifeng </w:t>
            </w:r>
            <w:proofErr w:type="spellStart"/>
            <w:r>
              <w:rPr>
                <w:b/>
                <w:color w:val="454545"/>
              </w:rPr>
              <w:t>Dajingzi</w:t>
            </w:r>
            <w:proofErr w:type="spellEnd"/>
            <w:r>
              <w:rPr>
                <w:b/>
                <w:color w:val="454545"/>
              </w:rPr>
              <w:t xml:space="preserve"> Tin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FE16581" w14:textId="77777777" w:rsidR="00303994" w:rsidRDefault="00303994" w:rsidP="00F0287B">
            <w:pPr>
              <w:spacing w:before="43" w:after="30" w:line="300" w:lineRule="auto"/>
              <w:ind w:left="55"/>
            </w:pPr>
            <w:r>
              <w:rPr>
                <w:b/>
                <w:color w:val="454545"/>
              </w:rPr>
              <w:t>CID003190</w:t>
            </w:r>
          </w:p>
        </w:tc>
      </w:tr>
      <w:tr w:rsidR="00303994" w14:paraId="1BDB24C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A326BA9"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B591C1F" w14:textId="77777777" w:rsidR="00303994" w:rsidRDefault="00303994" w:rsidP="00F0287B">
            <w:pPr>
              <w:spacing w:before="43" w:after="30" w:line="300" w:lineRule="auto"/>
              <w:ind w:left="55"/>
            </w:pPr>
            <w:r>
              <w:rPr>
                <w:b/>
                <w:color w:val="454545"/>
              </w:rPr>
              <w:t>China Tin Group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498900C" w14:textId="77777777" w:rsidR="00303994" w:rsidRDefault="00303994" w:rsidP="00F0287B">
            <w:pPr>
              <w:spacing w:before="43" w:after="30" w:line="300" w:lineRule="auto"/>
              <w:ind w:left="55"/>
            </w:pPr>
            <w:r>
              <w:rPr>
                <w:b/>
                <w:color w:val="454545"/>
              </w:rPr>
              <w:t>CID001070</w:t>
            </w:r>
          </w:p>
        </w:tc>
      </w:tr>
      <w:tr w:rsidR="00303994" w14:paraId="3D1D6B21"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11FC3D5" w14:textId="77777777" w:rsidR="00303994" w:rsidRDefault="00303994" w:rsidP="00F0287B">
            <w:pPr>
              <w:spacing w:before="43" w:after="30" w:line="300" w:lineRule="auto"/>
              <w:ind w:left="55"/>
            </w:pPr>
            <w:r>
              <w:rPr>
                <w:b/>
                <w:color w:val="454545"/>
              </w:rPr>
              <w:lastRenderedPageBreak/>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AA8A9C7" w14:textId="77777777" w:rsidR="00303994" w:rsidRDefault="00303994" w:rsidP="00F0287B">
            <w:pPr>
              <w:spacing w:before="43" w:after="30" w:line="300" w:lineRule="auto"/>
              <w:ind w:left="55"/>
            </w:pPr>
            <w:r>
              <w:rPr>
                <w:b/>
                <w:color w:val="454545"/>
              </w:rPr>
              <w:t xml:space="preserve">CRM </w:t>
            </w:r>
            <w:proofErr w:type="spellStart"/>
            <w:r>
              <w:rPr>
                <w:b/>
                <w:color w:val="454545"/>
              </w:rPr>
              <w:t>Fundicao</w:t>
            </w:r>
            <w:proofErr w:type="spellEnd"/>
            <w:r>
              <w:rPr>
                <w:b/>
                <w:color w:val="454545"/>
              </w:rPr>
              <w:t xml:space="preserve"> De </w:t>
            </w:r>
            <w:proofErr w:type="spellStart"/>
            <w:r>
              <w:rPr>
                <w:b/>
                <w:color w:val="454545"/>
              </w:rPr>
              <w:t>Metais</w:t>
            </w:r>
            <w:proofErr w:type="spellEnd"/>
            <w:r>
              <w:rPr>
                <w:b/>
                <w:color w:val="454545"/>
              </w:rPr>
              <w:t xml:space="preserve"> E Comercio De </w:t>
            </w:r>
            <w:proofErr w:type="spellStart"/>
            <w:r>
              <w:rPr>
                <w:b/>
                <w:color w:val="454545"/>
              </w:rPr>
              <w:t>Equipamentos</w:t>
            </w:r>
            <w:proofErr w:type="spellEnd"/>
            <w:r>
              <w:rPr>
                <w:b/>
                <w:color w:val="454545"/>
              </w:rPr>
              <w:t xml:space="preserve"> </w:t>
            </w:r>
            <w:proofErr w:type="spellStart"/>
            <w:r>
              <w:rPr>
                <w:b/>
                <w:color w:val="454545"/>
              </w:rPr>
              <w:t>Eletronicos</w:t>
            </w:r>
            <w:proofErr w:type="spellEnd"/>
            <w:r>
              <w:rPr>
                <w:b/>
                <w:color w:val="454545"/>
              </w:rPr>
              <w:t xml:space="preserve"> Do </w:t>
            </w:r>
            <w:proofErr w:type="spellStart"/>
            <w:r>
              <w:rPr>
                <w:b/>
                <w:color w:val="454545"/>
              </w:rPr>
              <w:t>Brasil</w:t>
            </w:r>
            <w:proofErr w:type="spellEnd"/>
            <w:r>
              <w:rPr>
                <w:b/>
                <w:color w:val="454545"/>
              </w:rPr>
              <w:t xml:space="preserve"> </w:t>
            </w:r>
            <w:proofErr w:type="spellStart"/>
            <w:r>
              <w:rPr>
                <w:b/>
                <w:color w:val="454545"/>
              </w:rPr>
              <w:t>Ltda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3862A9C" w14:textId="77777777" w:rsidR="00303994" w:rsidRDefault="00303994" w:rsidP="00F0287B">
            <w:pPr>
              <w:spacing w:before="43" w:after="30" w:line="300" w:lineRule="auto"/>
              <w:ind w:left="55"/>
            </w:pPr>
            <w:r>
              <w:rPr>
                <w:b/>
                <w:color w:val="454545"/>
              </w:rPr>
              <w:t>CID003486</w:t>
            </w:r>
          </w:p>
        </w:tc>
      </w:tr>
      <w:tr w:rsidR="00303994" w14:paraId="7A9C7D0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CA39D4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BD51019" w14:textId="77777777" w:rsidR="00303994" w:rsidRDefault="00303994" w:rsidP="00F0287B">
            <w:pPr>
              <w:spacing w:before="43" w:after="30" w:line="300" w:lineRule="auto"/>
              <w:ind w:left="55"/>
            </w:pPr>
            <w:r>
              <w:rPr>
                <w:b/>
                <w:color w:val="454545"/>
              </w:rPr>
              <w:t>CRM Synergies**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D7531E" w14:textId="77777777" w:rsidR="00303994" w:rsidRDefault="00303994" w:rsidP="00F0287B">
            <w:pPr>
              <w:spacing w:before="43" w:after="30" w:line="300" w:lineRule="auto"/>
              <w:ind w:left="55"/>
            </w:pPr>
            <w:r>
              <w:rPr>
                <w:b/>
                <w:color w:val="454545"/>
              </w:rPr>
              <w:t>CID003524</w:t>
            </w:r>
          </w:p>
        </w:tc>
      </w:tr>
      <w:tr w:rsidR="00303994" w14:paraId="2D8C2D7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075CBFC"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1F7D5B" w14:textId="77777777" w:rsidR="00303994" w:rsidRDefault="00303994" w:rsidP="00F0287B">
            <w:pPr>
              <w:spacing w:before="43" w:after="30" w:line="300" w:lineRule="auto"/>
              <w:ind w:left="55"/>
            </w:pPr>
            <w:r>
              <w:rPr>
                <w:b/>
                <w:color w:val="454545"/>
              </w:rPr>
              <w:t>CV Venus Inti Perkasa**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D18DABC" w14:textId="77777777" w:rsidR="00303994" w:rsidRDefault="00303994" w:rsidP="00F0287B">
            <w:pPr>
              <w:spacing w:before="43" w:after="30" w:line="300" w:lineRule="auto"/>
              <w:ind w:left="55"/>
            </w:pPr>
            <w:r>
              <w:rPr>
                <w:b/>
                <w:color w:val="454545"/>
              </w:rPr>
              <w:t>CID002455</w:t>
            </w:r>
          </w:p>
        </w:tc>
      </w:tr>
      <w:tr w:rsidR="00303994" w14:paraId="6B0FA1B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BA3ABF"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46CBAE2" w14:textId="77777777" w:rsidR="00303994" w:rsidRDefault="00303994" w:rsidP="00F0287B">
            <w:pPr>
              <w:spacing w:before="43" w:after="30" w:line="300" w:lineRule="auto"/>
              <w:ind w:left="55"/>
            </w:pPr>
            <w:r>
              <w:rPr>
                <w:b/>
                <w:color w:val="454545"/>
              </w:rPr>
              <w:t xml:space="preserve">Dongguan </w:t>
            </w:r>
            <w:proofErr w:type="spellStart"/>
            <w:r>
              <w:rPr>
                <w:b/>
                <w:color w:val="454545"/>
              </w:rPr>
              <w:t>CiEXPO</w:t>
            </w:r>
            <w:proofErr w:type="spellEnd"/>
            <w:r>
              <w:rPr>
                <w:b/>
                <w:color w:val="454545"/>
              </w:rPr>
              <w:t xml:space="preserve"> Environmental Engineering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A4A2F91" w14:textId="77777777" w:rsidR="00303994" w:rsidRDefault="00303994" w:rsidP="00F0287B">
            <w:pPr>
              <w:spacing w:before="43" w:after="30" w:line="300" w:lineRule="auto"/>
              <w:ind w:left="55"/>
            </w:pPr>
            <w:r>
              <w:rPr>
                <w:b/>
                <w:color w:val="454545"/>
              </w:rPr>
              <w:t>CID003356</w:t>
            </w:r>
          </w:p>
        </w:tc>
      </w:tr>
      <w:tr w:rsidR="00303994" w14:paraId="56E7CFF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BCEE95"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819AE02" w14:textId="77777777" w:rsidR="00303994" w:rsidRDefault="00303994" w:rsidP="00F0287B">
            <w:pPr>
              <w:spacing w:before="43" w:after="30" w:line="300" w:lineRule="auto"/>
              <w:ind w:left="55"/>
            </w:pPr>
            <w:r>
              <w:rPr>
                <w:b/>
                <w:color w:val="454545"/>
              </w:rPr>
              <w:t>Dowa**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C35616F" w14:textId="77777777" w:rsidR="00303994" w:rsidRDefault="00303994" w:rsidP="00F0287B">
            <w:pPr>
              <w:spacing w:before="43" w:after="30" w:line="300" w:lineRule="auto"/>
              <w:ind w:left="55"/>
            </w:pPr>
            <w:r>
              <w:rPr>
                <w:b/>
                <w:color w:val="454545"/>
              </w:rPr>
              <w:t>CID000402</w:t>
            </w:r>
          </w:p>
        </w:tc>
      </w:tr>
      <w:tr w:rsidR="00303994" w14:paraId="5B8E705D"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6212AB1"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16F8F7C" w14:textId="77777777" w:rsidR="00303994" w:rsidRDefault="00303994" w:rsidP="00F0287B">
            <w:pPr>
              <w:spacing w:before="43" w:after="30" w:line="300" w:lineRule="auto"/>
              <w:ind w:left="55"/>
            </w:pPr>
            <w:r>
              <w:rPr>
                <w:b/>
                <w:color w:val="454545"/>
              </w:rPr>
              <w:t>Electro-Mechanical Facility of the Cao Bang Minerals &amp; Metallurgy Joint Stock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FE050F3" w14:textId="77777777" w:rsidR="00303994" w:rsidRDefault="00303994" w:rsidP="00F0287B">
            <w:pPr>
              <w:spacing w:before="43" w:after="30" w:line="300" w:lineRule="auto"/>
              <w:ind w:left="55"/>
            </w:pPr>
            <w:r>
              <w:rPr>
                <w:b/>
                <w:color w:val="454545"/>
              </w:rPr>
              <w:t>CID002572</w:t>
            </w:r>
          </w:p>
        </w:tc>
      </w:tr>
      <w:tr w:rsidR="00303994" w14:paraId="48FC4E4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27983D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AC2AF36" w14:textId="77777777" w:rsidR="00303994" w:rsidRDefault="00303994" w:rsidP="00F0287B">
            <w:pPr>
              <w:spacing w:before="43" w:after="30" w:line="300" w:lineRule="auto"/>
              <w:ind w:left="55"/>
            </w:pPr>
            <w:r>
              <w:rPr>
                <w:b/>
                <w:color w:val="454545"/>
              </w:rPr>
              <w:t xml:space="preserve">EM </w:t>
            </w:r>
            <w:proofErr w:type="spellStart"/>
            <w:r>
              <w:rPr>
                <w:b/>
                <w:color w:val="454545"/>
              </w:rPr>
              <w:t>Vinto</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9C86CA1" w14:textId="77777777" w:rsidR="00303994" w:rsidRDefault="00303994" w:rsidP="00F0287B">
            <w:pPr>
              <w:spacing w:before="43" w:after="30" w:line="300" w:lineRule="auto"/>
              <w:ind w:left="55"/>
            </w:pPr>
            <w:r>
              <w:rPr>
                <w:b/>
                <w:color w:val="454545"/>
              </w:rPr>
              <w:t>CID000438</w:t>
            </w:r>
          </w:p>
        </w:tc>
      </w:tr>
      <w:tr w:rsidR="00303994" w14:paraId="7B94F25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25480CB"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EDDB4A7" w14:textId="77777777" w:rsidR="00303994" w:rsidRDefault="00303994" w:rsidP="00F0287B">
            <w:pPr>
              <w:spacing w:before="43" w:after="30" w:line="300" w:lineRule="auto"/>
              <w:ind w:left="55"/>
            </w:pPr>
            <w:proofErr w:type="spellStart"/>
            <w:r>
              <w:rPr>
                <w:b/>
                <w:color w:val="454545"/>
              </w:rPr>
              <w:t>Estanho</w:t>
            </w:r>
            <w:proofErr w:type="spellEnd"/>
            <w:r>
              <w:rPr>
                <w:b/>
                <w:color w:val="454545"/>
              </w:rPr>
              <w:t xml:space="preserve"> de </w:t>
            </w:r>
            <w:proofErr w:type="spellStart"/>
            <w:r>
              <w:rPr>
                <w:b/>
                <w:color w:val="454545"/>
              </w:rPr>
              <w:t>Rondonia</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A683A65" w14:textId="77777777" w:rsidR="00303994" w:rsidRDefault="00303994" w:rsidP="00F0287B">
            <w:pPr>
              <w:spacing w:before="43" w:after="30" w:line="300" w:lineRule="auto"/>
              <w:ind w:left="55"/>
            </w:pPr>
            <w:r>
              <w:rPr>
                <w:b/>
                <w:color w:val="454545"/>
              </w:rPr>
              <w:t>CID000448</w:t>
            </w:r>
          </w:p>
        </w:tc>
      </w:tr>
      <w:tr w:rsidR="00303994" w14:paraId="732E64E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C2279B5"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A3D6EA" w14:textId="77777777" w:rsidR="00303994" w:rsidRDefault="00303994" w:rsidP="00F0287B">
            <w:pPr>
              <w:spacing w:before="43" w:after="30" w:line="300" w:lineRule="auto"/>
              <w:ind w:left="55"/>
            </w:pPr>
            <w:proofErr w:type="spellStart"/>
            <w:r>
              <w:rPr>
                <w:b/>
                <w:color w:val="454545"/>
              </w:rPr>
              <w:t>Fabrica</w:t>
            </w:r>
            <w:proofErr w:type="spellEnd"/>
            <w:r>
              <w:rPr>
                <w:b/>
                <w:color w:val="454545"/>
              </w:rPr>
              <w:t xml:space="preserve"> </w:t>
            </w:r>
            <w:proofErr w:type="spellStart"/>
            <w:r>
              <w:rPr>
                <w:b/>
                <w:color w:val="454545"/>
              </w:rPr>
              <w:t>Auricchio</w:t>
            </w:r>
            <w:proofErr w:type="spellEnd"/>
            <w:r>
              <w:rPr>
                <w:b/>
                <w:color w:val="454545"/>
              </w:rPr>
              <w:t xml:space="preserve"> </w:t>
            </w:r>
            <w:proofErr w:type="spellStart"/>
            <w:r>
              <w:rPr>
                <w:b/>
                <w:color w:val="454545"/>
              </w:rPr>
              <w:t>Industria</w:t>
            </w:r>
            <w:proofErr w:type="spellEnd"/>
            <w:r>
              <w:rPr>
                <w:b/>
                <w:color w:val="454545"/>
              </w:rPr>
              <w:t xml:space="preserve"> e Comercio Ltda.**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578B7C2" w14:textId="77777777" w:rsidR="00303994" w:rsidRDefault="00303994" w:rsidP="00F0287B">
            <w:pPr>
              <w:spacing w:before="43" w:after="30" w:line="300" w:lineRule="auto"/>
              <w:ind w:left="55"/>
            </w:pPr>
            <w:r>
              <w:rPr>
                <w:b/>
                <w:color w:val="454545"/>
              </w:rPr>
              <w:t>CID003582</w:t>
            </w:r>
          </w:p>
        </w:tc>
      </w:tr>
      <w:tr w:rsidR="00303994" w14:paraId="07DA26C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5E2643C"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92C3C1E" w14:textId="77777777" w:rsidR="00303994" w:rsidRDefault="00303994" w:rsidP="00F0287B">
            <w:pPr>
              <w:spacing w:before="43" w:after="30" w:line="300" w:lineRule="auto"/>
              <w:ind w:left="55"/>
            </w:pPr>
            <w:r>
              <w:rPr>
                <w:b/>
                <w:color w:val="454545"/>
              </w:rPr>
              <w:t>Fenix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10B416F" w14:textId="77777777" w:rsidR="00303994" w:rsidRDefault="00303994" w:rsidP="00F0287B">
            <w:pPr>
              <w:spacing w:before="43" w:after="30" w:line="300" w:lineRule="auto"/>
              <w:ind w:left="55"/>
            </w:pPr>
            <w:r>
              <w:rPr>
                <w:b/>
                <w:color w:val="454545"/>
              </w:rPr>
              <w:t>CID000468</w:t>
            </w:r>
          </w:p>
        </w:tc>
      </w:tr>
      <w:tr w:rsidR="00303994" w14:paraId="2A1BDD2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70F5A6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30B98F5" w14:textId="77777777" w:rsidR="00303994" w:rsidRDefault="00303994" w:rsidP="00F0287B">
            <w:pPr>
              <w:spacing w:before="43" w:after="30" w:line="300" w:lineRule="auto"/>
              <w:ind w:left="55"/>
            </w:pPr>
            <w:proofErr w:type="spellStart"/>
            <w:r>
              <w:rPr>
                <w:b/>
                <w:color w:val="454545"/>
              </w:rPr>
              <w:t>Gejiu</w:t>
            </w:r>
            <w:proofErr w:type="spellEnd"/>
            <w:r>
              <w:rPr>
                <w:b/>
                <w:color w:val="454545"/>
              </w:rPr>
              <w:t xml:space="preserve"> City </w:t>
            </w:r>
            <w:proofErr w:type="spellStart"/>
            <w:r>
              <w:rPr>
                <w:b/>
                <w:color w:val="454545"/>
              </w:rPr>
              <w:t>Fuxiang</w:t>
            </w:r>
            <w:proofErr w:type="spellEnd"/>
            <w:r>
              <w:rPr>
                <w:b/>
                <w:color w:val="454545"/>
              </w:rPr>
              <w:t xml:space="preserve"> Industry and Trade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EF78E52" w14:textId="77777777" w:rsidR="00303994" w:rsidRDefault="00303994" w:rsidP="00F0287B">
            <w:pPr>
              <w:spacing w:before="43" w:after="30" w:line="300" w:lineRule="auto"/>
              <w:ind w:left="55"/>
            </w:pPr>
            <w:r>
              <w:rPr>
                <w:b/>
                <w:color w:val="454545"/>
              </w:rPr>
              <w:t>CID003410</w:t>
            </w:r>
          </w:p>
        </w:tc>
      </w:tr>
      <w:tr w:rsidR="00303994" w14:paraId="7F99954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9FFC0D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396B1C2" w14:textId="77777777" w:rsidR="00303994" w:rsidRDefault="00303994" w:rsidP="00F0287B">
            <w:pPr>
              <w:spacing w:before="43" w:after="30" w:line="300" w:lineRule="auto"/>
              <w:ind w:left="55"/>
            </w:pPr>
            <w:proofErr w:type="spellStart"/>
            <w:r>
              <w:rPr>
                <w:b/>
                <w:color w:val="454545"/>
              </w:rPr>
              <w:t>Gejiu</w:t>
            </w:r>
            <w:proofErr w:type="spellEnd"/>
            <w:r>
              <w:rPr>
                <w:b/>
                <w:color w:val="454545"/>
              </w:rPr>
              <w:t xml:space="preserve"> Kai Meng Industry and Trade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72E204A" w14:textId="77777777" w:rsidR="00303994" w:rsidRDefault="00303994" w:rsidP="00F0287B">
            <w:pPr>
              <w:spacing w:before="43" w:after="30" w:line="300" w:lineRule="auto"/>
              <w:ind w:left="55"/>
            </w:pPr>
            <w:r>
              <w:rPr>
                <w:b/>
                <w:color w:val="454545"/>
              </w:rPr>
              <w:t>CID000942</w:t>
            </w:r>
          </w:p>
        </w:tc>
      </w:tr>
      <w:tr w:rsidR="00303994" w14:paraId="6427A02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20132FD"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0DFE89" w14:textId="77777777" w:rsidR="00303994" w:rsidRDefault="00303994" w:rsidP="00F0287B">
            <w:pPr>
              <w:spacing w:before="43" w:after="30" w:line="300" w:lineRule="auto"/>
              <w:ind w:left="55"/>
            </w:pPr>
            <w:proofErr w:type="spellStart"/>
            <w:r>
              <w:rPr>
                <w:b/>
                <w:color w:val="454545"/>
              </w:rPr>
              <w:t>Gejiu</w:t>
            </w:r>
            <w:proofErr w:type="spellEnd"/>
            <w:r>
              <w:rPr>
                <w:b/>
                <w:color w:val="454545"/>
              </w:rPr>
              <w:t xml:space="preserve"> Non-Ferrous Metal Processing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AEA9375" w14:textId="77777777" w:rsidR="00303994" w:rsidRDefault="00303994" w:rsidP="00F0287B">
            <w:pPr>
              <w:spacing w:before="43" w:after="30" w:line="300" w:lineRule="auto"/>
              <w:ind w:left="55"/>
            </w:pPr>
            <w:r>
              <w:rPr>
                <w:b/>
                <w:color w:val="454545"/>
              </w:rPr>
              <w:t>CID000538</w:t>
            </w:r>
          </w:p>
        </w:tc>
      </w:tr>
      <w:tr w:rsidR="00303994" w14:paraId="4043629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370DC5"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181B1A" w14:textId="77777777" w:rsidR="00303994" w:rsidRDefault="00303994" w:rsidP="00F0287B">
            <w:pPr>
              <w:spacing w:before="43" w:after="30" w:line="300" w:lineRule="auto"/>
              <w:ind w:left="55"/>
            </w:pPr>
            <w:proofErr w:type="spellStart"/>
            <w:r>
              <w:rPr>
                <w:b/>
                <w:color w:val="454545"/>
              </w:rPr>
              <w:t>Gejiu</w:t>
            </w:r>
            <w:proofErr w:type="spellEnd"/>
            <w:r>
              <w:rPr>
                <w:b/>
                <w:color w:val="454545"/>
              </w:rPr>
              <w:t xml:space="preserve"> </w:t>
            </w:r>
            <w:proofErr w:type="spellStart"/>
            <w:r>
              <w:rPr>
                <w:b/>
                <w:color w:val="454545"/>
              </w:rPr>
              <w:t>Yunxin</w:t>
            </w:r>
            <w:proofErr w:type="spellEnd"/>
            <w:r>
              <w:rPr>
                <w:b/>
                <w:color w:val="454545"/>
              </w:rPr>
              <w:t xml:space="preserve"> Nonferrous Electrolysis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DD49ACC" w14:textId="77777777" w:rsidR="00303994" w:rsidRDefault="00303994" w:rsidP="00F0287B">
            <w:pPr>
              <w:spacing w:before="43" w:after="30" w:line="300" w:lineRule="auto"/>
              <w:ind w:left="55"/>
            </w:pPr>
            <w:r>
              <w:rPr>
                <w:b/>
                <w:color w:val="454545"/>
              </w:rPr>
              <w:t>CID001908</w:t>
            </w:r>
          </w:p>
        </w:tc>
      </w:tr>
      <w:tr w:rsidR="00303994" w14:paraId="4CF7CFD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2A3CE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705CE4" w14:textId="77777777" w:rsidR="00303994" w:rsidRDefault="00303994" w:rsidP="00F0287B">
            <w:pPr>
              <w:spacing w:before="43" w:after="30" w:line="300" w:lineRule="auto"/>
              <w:ind w:left="55"/>
            </w:pPr>
            <w:proofErr w:type="spellStart"/>
            <w:r>
              <w:rPr>
                <w:b/>
                <w:color w:val="454545"/>
              </w:rPr>
              <w:t>Gejiu</w:t>
            </w:r>
            <w:proofErr w:type="spellEnd"/>
            <w:r>
              <w:rPr>
                <w:b/>
                <w:color w:val="454545"/>
              </w:rPr>
              <w:t xml:space="preserve"> </w:t>
            </w:r>
            <w:proofErr w:type="spellStart"/>
            <w:r>
              <w:rPr>
                <w:b/>
                <w:color w:val="454545"/>
              </w:rPr>
              <w:t>Zili</w:t>
            </w:r>
            <w:proofErr w:type="spellEnd"/>
            <w:r>
              <w:rPr>
                <w:b/>
                <w:color w:val="454545"/>
              </w:rPr>
              <w:t xml:space="preserve"> Mining And Metallurgy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8A855FE" w14:textId="77777777" w:rsidR="00303994" w:rsidRDefault="00303994" w:rsidP="00F0287B">
            <w:pPr>
              <w:spacing w:before="43" w:after="30" w:line="300" w:lineRule="auto"/>
              <w:ind w:left="55"/>
            </w:pPr>
            <w:r>
              <w:rPr>
                <w:b/>
                <w:color w:val="454545"/>
              </w:rPr>
              <w:t>CID000555</w:t>
            </w:r>
          </w:p>
        </w:tc>
      </w:tr>
      <w:tr w:rsidR="00303994" w14:paraId="750ECCB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9ED010F"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4E7EC1" w14:textId="77777777" w:rsidR="00303994" w:rsidRDefault="00303994" w:rsidP="00F0287B">
            <w:pPr>
              <w:spacing w:before="43" w:after="30" w:line="300" w:lineRule="auto"/>
              <w:ind w:left="55"/>
            </w:pPr>
            <w:r>
              <w:rPr>
                <w:b/>
                <w:color w:val="454545"/>
              </w:rPr>
              <w:t xml:space="preserve">Guangdong </w:t>
            </w:r>
            <w:proofErr w:type="spellStart"/>
            <w:r>
              <w:rPr>
                <w:b/>
                <w:color w:val="454545"/>
              </w:rPr>
              <w:t>Hanhe</w:t>
            </w:r>
            <w:proofErr w:type="spellEnd"/>
            <w:r>
              <w:rPr>
                <w:b/>
                <w:color w:val="454545"/>
              </w:rPr>
              <w:t xml:space="preserve"> Non-Ferrous Metal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26197F2" w14:textId="77777777" w:rsidR="00303994" w:rsidRDefault="00303994" w:rsidP="00F0287B">
            <w:pPr>
              <w:spacing w:before="43" w:after="30" w:line="300" w:lineRule="auto"/>
              <w:ind w:left="55"/>
            </w:pPr>
            <w:r>
              <w:rPr>
                <w:b/>
                <w:color w:val="454545"/>
              </w:rPr>
              <w:t>CID003116</w:t>
            </w:r>
          </w:p>
        </w:tc>
      </w:tr>
      <w:tr w:rsidR="00303994" w14:paraId="3B8BC49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3CFA1D5"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8038C6" w14:textId="77777777" w:rsidR="00303994" w:rsidRDefault="00303994" w:rsidP="00F0287B">
            <w:pPr>
              <w:spacing w:before="43" w:after="30" w:line="300" w:lineRule="auto"/>
              <w:ind w:left="55"/>
            </w:pPr>
            <w:proofErr w:type="spellStart"/>
            <w:r>
              <w:rPr>
                <w:b/>
                <w:color w:val="454545"/>
              </w:rPr>
              <w:t>HuiChang</w:t>
            </w:r>
            <w:proofErr w:type="spellEnd"/>
            <w:r>
              <w:rPr>
                <w:b/>
                <w:color w:val="454545"/>
              </w:rPr>
              <w:t xml:space="preserve"> Hill Tin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50F004F" w14:textId="77777777" w:rsidR="00303994" w:rsidRDefault="00303994" w:rsidP="00F0287B">
            <w:pPr>
              <w:spacing w:before="43" w:after="30" w:line="300" w:lineRule="auto"/>
              <w:ind w:left="55"/>
            </w:pPr>
            <w:r>
              <w:rPr>
                <w:b/>
                <w:color w:val="454545"/>
              </w:rPr>
              <w:t>CID002844</w:t>
            </w:r>
          </w:p>
        </w:tc>
      </w:tr>
      <w:tr w:rsidR="00303994" w14:paraId="280B4C2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02CD2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284E5ED" w14:textId="77777777" w:rsidR="00303994" w:rsidRDefault="00303994" w:rsidP="00F0287B">
            <w:pPr>
              <w:spacing w:before="43" w:after="30" w:line="300" w:lineRule="auto"/>
              <w:ind w:left="55"/>
            </w:pPr>
            <w:r>
              <w:rPr>
                <w:b/>
                <w:color w:val="454545"/>
              </w:rPr>
              <w:t>Jiangxi New Nanshan Technology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F7574B7" w14:textId="77777777" w:rsidR="00303994" w:rsidRDefault="00303994" w:rsidP="00F0287B">
            <w:pPr>
              <w:spacing w:before="43" w:after="30" w:line="300" w:lineRule="auto"/>
              <w:ind w:left="55"/>
            </w:pPr>
            <w:r>
              <w:rPr>
                <w:b/>
                <w:color w:val="454545"/>
              </w:rPr>
              <w:t>CID001231</w:t>
            </w:r>
          </w:p>
        </w:tc>
      </w:tr>
      <w:tr w:rsidR="00303994" w14:paraId="1D7A0FF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474319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89EDF53" w14:textId="77777777" w:rsidR="00303994" w:rsidRDefault="00303994" w:rsidP="00F0287B">
            <w:pPr>
              <w:spacing w:before="43" w:after="30" w:line="300" w:lineRule="auto"/>
              <w:ind w:left="55"/>
            </w:pPr>
            <w:r>
              <w:rPr>
                <w:b/>
                <w:color w:val="454545"/>
              </w:rPr>
              <w:t>Luna Smelter,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1EA1D7C" w14:textId="77777777" w:rsidR="00303994" w:rsidRDefault="00303994" w:rsidP="00F0287B">
            <w:pPr>
              <w:spacing w:before="43" w:after="30" w:line="300" w:lineRule="auto"/>
              <w:ind w:left="55"/>
            </w:pPr>
            <w:r>
              <w:rPr>
                <w:b/>
                <w:color w:val="454545"/>
              </w:rPr>
              <w:t>CID003387</w:t>
            </w:r>
          </w:p>
        </w:tc>
      </w:tr>
      <w:tr w:rsidR="00303994" w14:paraId="4937D13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EC2479F"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E428C02" w14:textId="77777777" w:rsidR="00303994" w:rsidRDefault="00303994" w:rsidP="00F0287B">
            <w:pPr>
              <w:spacing w:before="43" w:after="30" w:line="300" w:lineRule="auto"/>
              <w:ind w:left="55"/>
            </w:pPr>
            <w:proofErr w:type="spellStart"/>
            <w:r>
              <w:rPr>
                <w:b/>
                <w:color w:val="454545"/>
              </w:rPr>
              <w:t>Ma'anshan</w:t>
            </w:r>
            <w:proofErr w:type="spellEnd"/>
            <w:r>
              <w:rPr>
                <w:b/>
                <w:color w:val="454545"/>
              </w:rPr>
              <w:t xml:space="preserve"> </w:t>
            </w:r>
            <w:proofErr w:type="spellStart"/>
            <w:r>
              <w:rPr>
                <w:b/>
                <w:color w:val="454545"/>
              </w:rPr>
              <w:t>Weitai</w:t>
            </w:r>
            <w:proofErr w:type="spellEnd"/>
            <w:r>
              <w:rPr>
                <w:b/>
                <w:color w:val="454545"/>
              </w:rPr>
              <w:t xml:space="preserve"> Tin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A01FC45" w14:textId="77777777" w:rsidR="00303994" w:rsidRDefault="00303994" w:rsidP="00F0287B">
            <w:pPr>
              <w:spacing w:before="43" w:after="30" w:line="300" w:lineRule="auto"/>
              <w:ind w:left="55"/>
            </w:pPr>
            <w:r>
              <w:rPr>
                <w:b/>
                <w:color w:val="454545"/>
              </w:rPr>
              <w:t>CID003379</w:t>
            </w:r>
          </w:p>
        </w:tc>
      </w:tr>
      <w:tr w:rsidR="00303994" w14:paraId="291ADD1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D61DEE7"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EB13F67" w14:textId="77777777" w:rsidR="00303994" w:rsidRDefault="00303994" w:rsidP="00F0287B">
            <w:pPr>
              <w:spacing w:before="43" w:after="30" w:line="300" w:lineRule="auto"/>
              <w:ind w:left="55"/>
            </w:pPr>
            <w:proofErr w:type="spellStart"/>
            <w:r>
              <w:rPr>
                <w:b/>
                <w:color w:val="454545"/>
              </w:rPr>
              <w:t>Magnu's</w:t>
            </w:r>
            <w:proofErr w:type="spellEnd"/>
            <w:r>
              <w:rPr>
                <w:b/>
                <w:color w:val="454545"/>
              </w:rPr>
              <w:t xml:space="preserve"> </w:t>
            </w:r>
            <w:proofErr w:type="spellStart"/>
            <w:r>
              <w:rPr>
                <w:b/>
                <w:color w:val="454545"/>
              </w:rPr>
              <w:t>Minerais</w:t>
            </w:r>
            <w:proofErr w:type="spellEnd"/>
            <w:r>
              <w:rPr>
                <w:b/>
                <w:color w:val="454545"/>
              </w:rPr>
              <w:t xml:space="preserve"> </w:t>
            </w:r>
            <w:proofErr w:type="spellStart"/>
            <w:r>
              <w:rPr>
                <w:b/>
                <w:color w:val="454545"/>
              </w:rPr>
              <w:t>Metais</w:t>
            </w:r>
            <w:proofErr w:type="spellEnd"/>
            <w:r>
              <w:rPr>
                <w:b/>
                <w:color w:val="454545"/>
              </w:rPr>
              <w:t xml:space="preserve"> e </w:t>
            </w:r>
            <w:proofErr w:type="spellStart"/>
            <w:r>
              <w:rPr>
                <w:b/>
                <w:color w:val="454545"/>
              </w:rPr>
              <w:t>Ligas</w:t>
            </w:r>
            <w:proofErr w:type="spellEnd"/>
            <w:r>
              <w:rPr>
                <w:b/>
                <w:color w:val="454545"/>
              </w:rPr>
              <w:t xml:space="preserve"> Ltda.**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0DA1314" w14:textId="77777777" w:rsidR="00303994" w:rsidRDefault="00303994" w:rsidP="00F0287B">
            <w:pPr>
              <w:spacing w:before="43" w:after="30" w:line="300" w:lineRule="auto"/>
              <w:ind w:left="55"/>
            </w:pPr>
            <w:r>
              <w:rPr>
                <w:b/>
                <w:color w:val="454545"/>
              </w:rPr>
              <w:t>CID002468</w:t>
            </w:r>
          </w:p>
        </w:tc>
      </w:tr>
      <w:tr w:rsidR="00303994" w14:paraId="107B959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6A10B6F"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B4064C2" w14:textId="77777777" w:rsidR="00303994" w:rsidRDefault="00303994" w:rsidP="00F0287B">
            <w:pPr>
              <w:spacing w:before="43" w:after="30" w:line="300" w:lineRule="auto"/>
              <w:ind w:left="55"/>
            </w:pPr>
            <w:r>
              <w:rPr>
                <w:b/>
                <w:color w:val="454545"/>
              </w:rPr>
              <w:t>Malaysia Smelting Corporation (MSC)**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066529A" w14:textId="77777777" w:rsidR="00303994" w:rsidRDefault="00303994" w:rsidP="00F0287B">
            <w:pPr>
              <w:spacing w:before="43" w:after="30" w:line="300" w:lineRule="auto"/>
              <w:ind w:left="55"/>
            </w:pPr>
            <w:r>
              <w:rPr>
                <w:b/>
                <w:color w:val="454545"/>
              </w:rPr>
              <w:t>CID001105</w:t>
            </w:r>
          </w:p>
        </w:tc>
      </w:tr>
      <w:tr w:rsidR="00303994" w14:paraId="436A786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27A6A9"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31A08C" w14:textId="77777777" w:rsidR="00303994" w:rsidRDefault="00303994" w:rsidP="00F0287B">
            <w:pPr>
              <w:spacing w:before="43" w:after="30" w:line="300" w:lineRule="auto"/>
              <w:ind w:left="55"/>
            </w:pPr>
            <w:r>
              <w:rPr>
                <w:b/>
                <w:color w:val="454545"/>
              </w:rPr>
              <w:t xml:space="preserve">Melt </w:t>
            </w:r>
            <w:proofErr w:type="spellStart"/>
            <w:r>
              <w:rPr>
                <w:b/>
                <w:color w:val="454545"/>
              </w:rPr>
              <w:t>Metais</w:t>
            </w:r>
            <w:proofErr w:type="spellEnd"/>
            <w:r>
              <w:rPr>
                <w:b/>
                <w:color w:val="454545"/>
              </w:rPr>
              <w:t xml:space="preserve"> e </w:t>
            </w:r>
            <w:proofErr w:type="spellStart"/>
            <w:r>
              <w:rPr>
                <w:b/>
                <w:color w:val="454545"/>
              </w:rPr>
              <w:t>Ligas</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6E8FE23" w14:textId="77777777" w:rsidR="00303994" w:rsidRDefault="00303994" w:rsidP="00F0287B">
            <w:pPr>
              <w:spacing w:before="43" w:after="30" w:line="300" w:lineRule="auto"/>
              <w:ind w:left="55"/>
            </w:pPr>
            <w:r>
              <w:rPr>
                <w:b/>
                <w:color w:val="454545"/>
              </w:rPr>
              <w:t>CID002500</w:t>
            </w:r>
          </w:p>
        </w:tc>
      </w:tr>
      <w:tr w:rsidR="00303994" w14:paraId="4DB8E0E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99F2A3"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FE54A5" w14:textId="77777777" w:rsidR="00303994" w:rsidRDefault="00303994" w:rsidP="00F0287B">
            <w:pPr>
              <w:spacing w:before="43" w:after="30" w:line="300" w:lineRule="auto"/>
              <w:ind w:left="55"/>
            </w:pPr>
            <w:r>
              <w:rPr>
                <w:b/>
                <w:color w:val="454545"/>
              </w:rPr>
              <w:t>Metallic Resources,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A021A54" w14:textId="77777777" w:rsidR="00303994" w:rsidRDefault="00303994" w:rsidP="00F0287B">
            <w:pPr>
              <w:spacing w:before="43" w:after="30" w:line="300" w:lineRule="auto"/>
              <w:ind w:left="55"/>
            </w:pPr>
            <w:r>
              <w:rPr>
                <w:b/>
                <w:color w:val="454545"/>
              </w:rPr>
              <w:t>CID001142</w:t>
            </w:r>
          </w:p>
        </w:tc>
      </w:tr>
      <w:tr w:rsidR="00303994" w14:paraId="7A47BBF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899F130"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4C69966" w14:textId="77777777" w:rsidR="00303994" w:rsidRDefault="00303994" w:rsidP="00F0287B">
            <w:pPr>
              <w:spacing w:before="43" w:after="30" w:line="300" w:lineRule="auto"/>
              <w:ind w:left="55"/>
            </w:pPr>
            <w:proofErr w:type="spellStart"/>
            <w:r>
              <w:rPr>
                <w:b/>
                <w:color w:val="454545"/>
              </w:rPr>
              <w:t>Metallo</w:t>
            </w:r>
            <w:proofErr w:type="spellEnd"/>
            <w:r>
              <w:rPr>
                <w:b/>
                <w:color w:val="454545"/>
              </w:rPr>
              <w:t xml:space="preserve"> Belgium N.V.**</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1F7CB86" w14:textId="77777777" w:rsidR="00303994" w:rsidRDefault="00303994" w:rsidP="00F0287B">
            <w:pPr>
              <w:spacing w:before="43" w:after="30" w:line="300" w:lineRule="auto"/>
              <w:ind w:left="55"/>
            </w:pPr>
            <w:r>
              <w:rPr>
                <w:b/>
                <w:color w:val="454545"/>
              </w:rPr>
              <w:t>CID002773</w:t>
            </w:r>
          </w:p>
        </w:tc>
      </w:tr>
      <w:tr w:rsidR="00303994" w14:paraId="2452438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D036008"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87D045" w14:textId="77777777" w:rsidR="00303994" w:rsidRDefault="00303994" w:rsidP="00F0287B">
            <w:pPr>
              <w:spacing w:before="43" w:after="30" w:line="300" w:lineRule="auto"/>
              <w:ind w:left="55"/>
            </w:pPr>
            <w:proofErr w:type="spellStart"/>
            <w:r>
              <w:rPr>
                <w:b/>
                <w:color w:val="454545"/>
              </w:rPr>
              <w:t>Metallo</w:t>
            </w:r>
            <w:proofErr w:type="spellEnd"/>
            <w:r>
              <w:rPr>
                <w:b/>
                <w:color w:val="454545"/>
              </w:rPr>
              <w:t xml:space="preserve"> Spain S.L.U.**</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64DDE33" w14:textId="77777777" w:rsidR="00303994" w:rsidRDefault="00303994" w:rsidP="00F0287B">
            <w:pPr>
              <w:spacing w:before="43" w:after="30" w:line="300" w:lineRule="auto"/>
              <w:ind w:left="55"/>
            </w:pPr>
            <w:r>
              <w:rPr>
                <w:b/>
                <w:color w:val="454545"/>
              </w:rPr>
              <w:t>CID002774</w:t>
            </w:r>
          </w:p>
        </w:tc>
      </w:tr>
      <w:tr w:rsidR="00303994" w14:paraId="2770322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2F5C61A"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BD7311" w14:textId="77777777" w:rsidR="00303994" w:rsidRDefault="00303994" w:rsidP="00F0287B">
            <w:pPr>
              <w:spacing w:before="43" w:after="30" w:line="300" w:lineRule="auto"/>
              <w:ind w:left="55"/>
            </w:pPr>
            <w:proofErr w:type="spellStart"/>
            <w:r>
              <w:rPr>
                <w:b/>
                <w:color w:val="454545"/>
              </w:rPr>
              <w:t>Mineracao</w:t>
            </w:r>
            <w:proofErr w:type="spellEnd"/>
            <w:r>
              <w:rPr>
                <w:b/>
                <w:color w:val="454545"/>
              </w:rPr>
              <w:t xml:space="preserve"> </w:t>
            </w:r>
            <w:proofErr w:type="spellStart"/>
            <w:r>
              <w:rPr>
                <w:b/>
                <w:color w:val="454545"/>
              </w:rPr>
              <w:t>Taboca</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3F41FAE" w14:textId="77777777" w:rsidR="00303994" w:rsidRDefault="00303994" w:rsidP="00F0287B">
            <w:pPr>
              <w:spacing w:before="43" w:after="30" w:line="300" w:lineRule="auto"/>
              <w:ind w:left="55"/>
            </w:pPr>
            <w:r>
              <w:rPr>
                <w:b/>
                <w:color w:val="454545"/>
              </w:rPr>
              <w:t>CID001173</w:t>
            </w:r>
          </w:p>
        </w:tc>
      </w:tr>
      <w:tr w:rsidR="00303994" w14:paraId="6FF852A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640B0C7"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ACA7505" w14:textId="77777777" w:rsidR="00303994" w:rsidRDefault="00303994" w:rsidP="00F0287B">
            <w:pPr>
              <w:spacing w:before="43" w:after="30" w:line="300" w:lineRule="auto"/>
              <w:ind w:left="55"/>
            </w:pPr>
            <w:proofErr w:type="spellStart"/>
            <w:r>
              <w:rPr>
                <w:b/>
                <w:color w:val="454545"/>
              </w:rPr>
              <w:t>Minsur</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3F81988" w14:textId="77777777" w:rsidR="00303994" w:rsidRDefault="00303994" w:rsidP="00F0287B">
            <w:pPr>
              <w:spacing w:before="43" w:after="30" w:line="300" w:lineRule="auto"/>
              <w:ind w:left="55"/>
            </w:pPr>
            <w:r>
              <w:rPr>
                <w:b/>
                <w:color w:val="454545"/>
              </w:rPr>
              <w:t>CID001182</w:t>
            </w:r>
          </w:p>
        </w:tc>
      </w:tr>
      <w:tr w:rsidR="00303994" w14:paraId="325EEAD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4874E6C"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D84DFD" w14:textId="77777777" w:rsidR="00303994" w:rsidRDefault="00303994" w:rsidP="00F0287B">
            <w:pPr>
              <w:spacing w:before="43" w:after="30" w:line="300" w:lineRule="auto"/>
              <w:ind w:left="55"/>
            </w:pPr>
            <w:r>
              <w:rPr>
                <w:b/>
                <w:color w:val="454545"/>
              </w:rPr>
              <w:t>Mitsubishi Materials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634CB10" w14:textId="77777777" w:rsidR="00303994" w:rsidRDefault="00303994" w:rsidP="00F0287B">
            <w:pPr>
              <w:spacing w:before="43" w:after="30" w:line="300" w:lineRule="auto"/>
              <w:ind w:left="55"/>
            </w:pPr>
            <w:r>
              <w:rPr>
                <w:b/>
                <w:color w:val="454545"/>
              </w:rPr>
              <w:t>CID001191</w:t>
            </w:r>
          </w:p>
        </w:tc>
      </w:tr>
      <w:tr w:rsidR="00303994" w14:paraId="72DC2C7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E65407A"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D6795DD" w14:textId="77777777" w:rsidR="00303994" w:rsidRDefault="00303994" w:rsidP="00F0287B">
            <w:pPr>
              <w:spacing w:before="43" w:after="30" w:line="300" w:lineRule="auto"/>
              <w:ind w:left="55"/>
            </w:pPr>
            <w:proofErr w:type="spellStart"/>
            <w:r>
              <w:rPr>
                <w:b/>
                <w:color w:val="454545"/>
              </w:rPr>
              <w:t>Modeltech</w:t>
            </w:r>
            <w:proofErr w:type="spellEnd"/>
            <w:r>
              <w:rPr>
                <w:b/>
                <w:color w:val="454545"/>
              </w:rPr>
              <w:t xml:space="preserve"> </w:t>
            </w:r>
            <w:proofErr w:type="spellStart"/>
            <w:r>
              <w:rPr>
                <w:b/>
                <w:color w:val="454545"/>
              </w:rPr>
              <w:t>Sdn</w:t>
            </w:r>
            <w:proofErr w:type="spellEnd"/>
            <w:r>
              <w:rPr>
                <w:b/>
                <w:color w:val="454545"/>
              </w:rPr>
              <w:t xml:space="preserve"> </w:t>
            </w:r>
            <w:proofErr w:type="spellStart"/>
            <w:r>
              <w:rPr>
                <w:b/>
                <w:color w:val="454545"/>
              </w:rPr>
              <w:t>Bhd</w:t>
            </w:r>
            <w:proofErr w:type="spellEnd"/>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9ECF768" w14:textId="77777777" w:rsidR="00303994" w:rsidRDefault="00303994" w:rsidP="00F0287B">
            <w:pPr>
              <w:spacing w:before="43" w:after="30" w:line="300" w:lineRule="auto"/>
              <w:ind w:left="55"/>
            </w:pPr>
            <w:r>
              <w:rPr>
                <w:b/>
                <w:color w:val="454545"/>
              </w:rPr>
              <w:t>CID002858</w:t>
            </w:r>
          </w:p>
        </w:tc>
      </w:tr>
      <w:tr w:rsidR="00303994" w14:paraId="1A9485A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3A3C43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AABE0E" w14:textId="77777777" w:rsidR="00303994" w:rsidRDefault="00303994" w:rsidP="00F0287B">
            <w:pPr>
              <w:spacing w:before="43" w:after="30" w:line="300" w:lineRule="auto"/>
              <w:ind w:left="55"/>
            </w:pPr>
            <w:r>
              <w:rPr>
                <w:b/>
                <w:color w:val="454545"/>
              </w:rPr>
              <w:t xml:space="preserve">Nghe </w:t>
            </w:r>
            <w:proofErr w:type="spellStart"/>
            <w:r>
              <w:rPr>
                <w:b/>
                <w:color w:val="454545"/>
              </w:rPr>
              <w:t>Tinh</w:t>
            </w:r>
            <w:proofErr w:type="spellEnd"/>
            <w:r>
              <w:rPr>
                <w:b/>
                <w:color w:val="454545"/>
              </w:rPr>
              <w:t xml:space="preserve"> Non-Ferrous Metals Joint Stock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D49FDA4" w14:textId="77777777" w:rsidR="00303994" w:rsidRDefault="00303994" w:rsidP="00F0287B">
            <w:pPr>
              <w:spacing w:before="43" w:after="30" w:line="300" w:lineRule="auto"/>
              <w:ind w:left="55"/>
            </w:pPr>
            <w:r>
              <w:rPr>
                <w:b/>
                <w:color w:val="454545"/>
              </w:rPr>
              <w:t>CID002573</w:t>
            </w:r>
          </w:p>
        </w:tc>
      </w:tr>
      <w:tr w:rsidR="00303994" w14:paraId="60323BB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ED7072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39DCE0" w14:textId="77777777" w:rsidR="00303994" w:rsidRDefault="00303994" w:rsidP="00F0287B">
            <w:pPr>
              <w:spacing w:before="43" w:after="30" w:line="300" w:lineRule="auto"/>
              <w:ind w:left="55"/>
            </w:pPr>
            <w:r>
              <w:rPr>
                <w:b/>
                <w:color w:val="454545"/>
              </w:rPr>
              <w:t>Novosibirsk Processing Plant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8DB4D54" w14:textId="77777777" w:rsidR="00303994" w:rsidRDefault="00303994" w:rsidP="00F0287B">
            <w:pPr>
              <w:spacing w:before="43" w:after="30" w:line="300" w:lineRule="auto"/>
              <w:ind w:left="55"/>
            </w:pPr>
            <w:r>
              <w:rPr>
                <w:b/>
                <w:color w:val="454545"/>
              </w:rPr>
              <w:t>CID001305</w:t>
            </w:r>
          </w:p>
        </w:tc>
      </w:tr>
      <w:tr w:rsidR="00303994" w14:paraId="0E1FAE4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22A087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948CE9" w14:textId="77777777" w:rsidR="00303994" w:rsidRDefault="00303994" w:rsidP="00F0287B">
            <w:pPr>
              <w:spacing w:before="43" w:after="30" w:line="300" w:lineRule="auto"/>
              <w:ind w:left="55"/>
            </w:pPr>
            <w:r>
              <w:rPr>
                <w:b/>
                <w:color w:val="454545"/>
              </w:rPr>
              <w:t>O.M. Manufacturing (Thailand)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AEE96E5" w14:textId="77777777" w:rsidR="00303994" w:rsidRDefault="00303994" w:rsidP="00F0287B">
            <w:pPr>
              <w:spacing w:before="43" w:after="30" w:line="300" w:lineRule="auto"/>
              <w:ind w:left="55"/>
            </w:pPr>
            <w:r>
              <w:rPr>
                <w:b/>
                <w:color w:val="454545"/>
              </w:rPr>
              <w:t>CID001314</w:t>
            </w:r>
          </w:p>
        </w:tc>
      </w:tr>
      <w:tr w:rsidR="00303994" w14:paraId="1A2D49E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6DA086"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B42081" w14:textId="77777777" w:rsidR="00303994" w:rsidRDefault="00303994" w:rsidP="00F0287B">
            <w:pPr>
              <w:spacing w:before="43" w:after="30" w:line="300" w:lineRule="auto"/>
              <w:ind w:left="55"/>
            </w:pPr>
            <w:r>
              <w:rPr>
                <w:b/>
                <w:color w:val="454545"/>
              </w:rPr>
              <w:t>O.M. Manufacturing Philippines,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14FB706" w14:textId="77777777" w:rsidR="00303994" w:rsidRDefault="00303994" w:rsidP="00F0287B">
            <w:pPr>
              <w:spacing w:before="43" w:after="30" w:line="300" w:lineRule="auto"/>
              <w:ind w:left="55"/>
            </w:pPr>
            <w:r>
              <w:rPr>
                <w:b/>
                <w:color w:val="454545"/>
              </w:rPr>
              <w:t>CID002517</w:t>
            </w:r>
          </w:p>
        </w:tc>
      </w:tr>
      <w:tr w:rsidR="00303994" w14:paraId="3AC08B9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7A06E7"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67A4C9" w14:textId="77777777" w:rsidR="00303994" w:rsidRDefault="00303994" w:rsidP="00F0287B">
            <w:pPr>
              <w:spacing w:before="43" w:after="30" w:line="300" w:lineRule="auto"/>
              <w:ind w:left="55"/>
            </w:pPr>
            <w:proofErr w:type="spellStart"/>
            <w:r>
              <w:rPr>
                <w:b/>
                <w:color w:val="454545"/>
              </w:rPr>
              <w:t>Operaciones</w:t>
            </w:r>
            <w:proofErr w:type="spellEnd"/>
            <w:r>
              <w:rPr>
                <w:b/>
                <w:color w:val="454545"/>
              </w:rPr>
              <w:t xml:space="preserve"> </w:t>
            </w:r>
            <w:proofErr w:type="spellStart"/>
            <w:r>
              <w:rPr>
                <w:b/>
                <w:color w:val="454545"/>
              </w:rPr>
              <w:t>Metalurgicas</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D2976D4" w14:textId="77777777" w:rsidR="00303994" w:rsidRDefault="00303994" w:rsidP="00F0287B">
            <w:pPr>
              <w:spacing w:before="43" w:after="30" w:line="300" w:lineRule="auto"/>
              <w:ind w:left="55"/>
            </w:pPr>
            <w:r>
              <w:rPr>
                <w:b/>
                <w:color w:val="454545"/>
              </w:rPr>
              <w:t>CID001337</w:t>
            </w:r>
          </w:p>
        </w:tc>
      </w:tr>
      <w:tr w:rsidR="00303994" w14:paraId="345C162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B8F5C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B8C048" w14:textId="77777777" w:rsidR="00303994" w:rsidRDefault="00303994" w:rsidP="00F0287B">
            <w:pPr>
              <w:spacing w:before="43" w:after="30" w:line="300" w:lineRule="auto"/>
              <w:ind w:left="55"/>
            </w:pPr>
            <w:proofErr w:type="spellStart"/>
            <w:r>
              <w:rPr>
                <w:b/>
                <w:color w:val="454545"/>
              </w:rPr>
              <w:t>Pongpipat</w:t>
            </w:r>
            <w:proofErr w:type="spellEnd"/>
            <w:r>
              <w:rPr>
                <w:b/>
                <w:color w:val="454545"/>
              </w:rPr>
              <w:t xml:space="preserve"> Company Limited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3B57BD3" w14:textId="77777777" w:rsidR="00303994" w:rsidRDefault="00303994" w:rsidP="00F0287B">
            <w:pPr>
              <w:spacing w:before="43" w:after="30" w:line="300" w:lineRule="auto"/>
              <w:ind w:left="55"/>
            </w:pPr>
            <w:r>
              <w:rPr>
                <w:b/>
                <w:color w:val="454545"/>
              </w:rPr>
              <w:t>CID003208</w:t>
            </w:r>
          </w:p>
        </w:tc>
      </w:tr>
      <w:tr w:rsidR="00303994" w14:paraId="7711E85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CBDC5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D0080F" w14:textId="77777777" w:rsidR="00303994" w:rsidRDefault="00303994" w:rsidP="00F0287B">
            <w:pPr>
              <w:spacing w:before="43" w:after="30" w:line="300" w:lineRule="auto"/>
              <w:ind w:left="55"/>
            </w:pPr>
            <w:r>
              <w:rPr>
                <w:b/>
                <w:color w:val="454545"/>
              </w:rPr>
              <w:t>Precious Minerals and Smelting Limited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5D21239" w14:textId="77777777" w:rsidR="00303994" w:rsidRDefault="00303994" w:rsidP="00F0287B">
            <w:pPr>
              <w:spacing w:before="43" w:after="30" w:line="300" w:lineRule="auto"/>
              <w:ind w:left="55"/>
            </w:pPr>
            <w:r>
              <w:rPr>
                <w:b/>
                <w:color w:val="454545"/>
              </w:rPr>
              <w:t>CID003409</w:t>
            </w:r>
          </w:p>
        </w:tc>
      </w:tr>
      <w:tr w:rsidR="00303994" w14:paraId="0C92F94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50AAD45"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5A5DFF3" w14:textId="77777777" w:rsidR="00303994" w:rsidRDefault="00303994" w:rsidP="00F0287B">
            <w:pPr>
              <w:spacing w:before="43" w:after="30" w:line="300" w:lineRule="auto"/>
              <w:ind w:left="55"/>
            </w:pPr>
            <w:r>
              <w:rPr>
                <w:b/>
                <w:color w:val="454545"/>
              </w:rPr>
              <w:t xml:space="preserve">PT Aries </w:t>
            </w:r>
            <w:proofErr w:type="spellStart"/>
            <w:r>
              <w:rPr>
                <w:b/>
                <w:color w:val="454545"/>
              </w:rPr>
              <w:t>Kencana</w:t>
            </w:r>
            <w:proofErr w:type="spellEnd"/>
            <w:r>
              <w:rPr>
                <w:b/>
                <w:color w:val="454545"/>
              </w:rPr>
              <w:t xml:space="preserve"> Sejahtera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78D2360" w14:textId="77777777" w:rsidR="00303994" w:rsidRDefault="00303994" w:rsidP="00F0287B">
            <w:pPr>
              <w:spacing w:before="43" w:after="30" w:line="300" w:lineRule="auto"/>
              <w:ind w:left="55"/>
            </w:pPr>
            <w:r>
              <w:rPr>
                <w:b/>
                <w:color w:val="454545"/>
              </w:rPr>
              <w:t>CID000309</w:t>
            </w:r>
          </w:p>
        </w:tc>
      </w:tr>
      <w:tr w:rsidR="00303994" w14:paraId="693D095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D713B9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079E77" w14:textId="77777777" w:rsidR="00303994" w:rsidRDefault="00303994" w:rsidP="00F0287B">
            <w:pPr>
              <w:spacing w:before="43" w:after="30" w:line="300" w:lineRule="auto"/>
              <w:ind w:left="55"/>
            </w:pPr>
            <w:r>
              <w:rPr>
                <w:b/>
                <w:color w:val="454545"/>
              </w:rPr>
              <w:t xml:space="preserve">PT </w:t>
            </w:r>
            <w:proofErr w:type="spellStart"/>
            <w:r>
              <w:rPr>
                <w:b/>
                <w:color w:val="454545"/>
              </w:rPr>
              <w:t>Artha</w:t>
            </w:r>
            <w:proofErr w:type="spellEnd"/>
            <w:r>
              <w:rPr>
                <w:b/>
                <w:color w:val="454545"/>
              </w:rPr>
              <w:t xml:space="preserve"> </w:t>
            </w:r>
            <w:proofErr w:type="spellStart"/>
            <w:r>
              <w:rPr>
                <w:b/>
                <w:color w:val="454545"/>
              </w:rPr>
              <w:t>Cipta</w:t>
            </w:r>
            <w:proofErr w:type="spellEnd"/>
            <w:r>
              <w:rPr>
                <w:b/>
                <w:color w:val="454545"/>
              </w:rPr>
              <w:t xml:space="preserve"> </w:t>
            </w:r>
            <w:proofErr w:type="spellStart"/>
            <w:r>
              <w:rPr>
                <w:b/>
                <w:color w:val="454545"/>
              </w:rPr>
              <w:t>Langgeng</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B572541" w14:textId="77777777" w:rsidR="00303994" w:rsidRDefault="00303994" w:rsidP="00F0287B">
            <w:pPr>
              <w:spacing w:before="43" w:after="30" w:line="300" w:lineRule="auto"/>
              <w:ind w:left="55"/>
            </w:pPr>
            <w:r>
              <w:rPr>
                <w:b/>
                <w:color w:val="454545"/>
              </w:rPr>
              <w:t>CID001399</w:t>
            </w:r>
          </w:p>
        </w:tc>
      </w:tr>
      <w:tr w:rsidR="00303994" w14:paraId="1198F9D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59C9A4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D6CAA4" w14:textId="77777777" w:rsidR="00303994" w:rsidRDefault="00303994" w:rsidP="00F0287B">
            <w:pPr>
              <w:spacing w:before="43" w:after="30" w:line="300" w:lineRule="auto"/>
              <w:ind w:left="55"/>
            </w:pPr>
            <w:r>
              <w:rPr>
                <w:b/>
                <w:color w:val="454545"/>
              </w:rPr>
              <w:t xml:space="preserve">PT ATD Makmur </w:t>
            </w:r>
            <w:proofErr w:type="spellStart"/>
            <w:r>
              <w:rPr>
                <w:b/>
                <w:color w:val="454545"/>
              </w:rPr>
              <w:t>Mandiri</w:t>
            </w:r>
            <w:proofErr w:type="spellEnd"/>
            <w:r>
              <w:rPr>
                <w:b/>
                <w:color w:val="454545"/>
              </w:rPr>
              <w:t xml:space="preserve"> Jaya**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228C84D" w14:textId="77777777" w:rsidR="00303994" w:rsidRDefault="00303994" w:rsidP="00F0287B">
            <w:pPr>
              <w:spacing w:before="43" w:after="30" w:line="300" w:lineRule="auto"/>
              <w:ind w:left="55"/>
            </w:pPr>
            <w:r>
              <w:rPr>
                <w:b/>
                <w:color w:val="454545"/>
              </w:rPr>
              <w:t>CID002503</w:t>
            </w:r>
          </w:p>
        </w:tc>
      </w:tr>
      <w:tr w:rsidR="00303994" w14:paraId="3D3DBAF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4B51B46"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E41D6E" w14:textId="77777777" w:rsidR="00303994" w:rsidRDefault="00303994" w:rsidP="00F0287B">
            <w:pPr>
              <w:spacing w:before="43" w:after="30" w:line="300" w:lineRule="auto"/>
              <w:ind w:left="55"/>
            </w:pPr>
            <w:r>
              <w:rPr>
                <w:b/>
                <w:color w:val="454545"/>
              </w:rPr>
              <w:t>PT Babel Inti Perkasa**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449C600" w14:textId="77777777" w:rsidR="00303994" w:rsidRDefault="00303994" w:rsidP="00F0287B">
            <w:pPr>
              <w:spacing w:before="43" w:after="30" w:line="300" w:lineRule="auto"/>
              <w:ind w:left="55"/>
            </w:pPr>
            <w:r>
              <w:rPr>
                <w:b/>
                <w:color w:val="454545"/>
              </w:rPr>
              <w:t>CID001402</w:t>
            </w:r>
          </w:p>
        </w:tc>
      </w:tr>
      <w:tr w:rsidR="00303994" w14:paraId="157B42C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439EB06"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FA0A7D" w14:textId="77777777" w:rsidR="00303994" w:rsidRDefault="00303994" w:rsidP="00F0287B">
            <w:pPr>
              <w:spacing w:before="43" w:after="30" w:line="300" w:lineRule="auto"/>
              <w:ind w:left="55"/>
            </w:pPr>
            <w:r>
              <w:rPr>
                <w:b/>
                <w:color w:val="454545"/>
              </w:rPr>
              <w:t xml:space="preserve">PT Babel Surya </w:t>
            </w:r>
            <w:proofErr w:type="spellStart"/>
            <w:r>
              <w:rPr>
                <w:b/>
                <w:color w:val="454545"/>
              </w:rPr>
              <w:t>Alam</w:t>
            </w:r>
            <w:proofErr w:type="spellEnd"/>
            <w:r>
              <w:rPr>
                <w:b/>
                <w:color w:val="454545"/>
              </w:rPr>
              <w:t xml:space="preserve"> Lestari**</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F7137EC" w14:textId="77777777" w:rsidR="00303994" w:rsidRDefault="00303994" w:rsidP="00F0287B">
            <w:pPr>
              <w:spacing w:before="43" w:after="30" w:line="300" w:lineRule="auto"/>
              <w:ind w:left="55"/>
            </w:pPr>
            <w:r>
              <w:rPr>
                <w:b/>
                <w:color w:val="454545"/>
              </w:rPr>
              <w:t>CID001406</w:t>
            </w:r>
          </w:p>
        </w:tc>
      </w:tr>
      <w:tr w:rsidR="00303994" w14:paraId="36D7756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4BCE72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DFC21AD" w14:textId="77777777" w:rsidR="00303994" w:rsidRDefault="00303994" w:rsidP="00F0287B">
            <w:pPr>
              <w:spacing w:before="43" w:after="30" w:line="300" w:lineRule="auto"/>
              <w:ind w:left="55"/>
            </w:pPr>
            <w:r>
              <w:rPr>
                <w:b/>
                <w:color w:val="454545"/>
              </w:rPr>
              <w:t xml:space="preserve">PT Bangka </w:t>
            </w:r>
            <w:proofErr w:type="spellStart"/>
            <w:r>
              <w:rPr>
                <w:b/>
                <w:color w:val="454545"/>
              </w:rPr>
              <w:t>Serumpun</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CA4BC44" w14:textId="77777777" w:rsidR="00303994" w:rsidRDefault="00303994" w:rsidP="00F0287B">
            <w:pPr>
              <w:spacing w:before="43" w:after="30" w:line="300" w:lineRule="auto"/>
              <w:ind w:left="55"/>
            </w:pPr>
            <w:r>
              <w:rPr>
                <w:b/>
                <w:color w:val="454545"/>
              </w:rPr>
              <w:t>CID003205</w:t>
            </w:r>
          </w:p>
        </w:tc>
      </w:tr>
      <w:tr w:rsidR="00303994" w14:paraId="53AE963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2C02EE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D389F7" w14:textId="77777777" w:rsidR="00303994" w:rsidRDefault="00303994" w:rsidP="00F0287B">
            <w:pPr>
              <w:spacing w:before="43" w:after="30" w:line="300" w:lineRule="auto"/>
              <w:ind w:left="55"/>
            </w:pPr>
            <w:r>
              <w:rPr>
                <w:b/>
                <w:color w:val="454545"/>
              </w:rPr>
              <w:t xml:space="preserve">PT Belitung </w:t>
            </w:r>
            <w:proofErr w:type="spellStart"/>
            <w:r>
              <w:rPr>
                <w:b/>
                <w:color w:val="454545"/>
              </w:rPr>
              <w:t>Industri</w:t>
            </w:r>
            <w:proofErr w:type="spellEnd"/>
            <w:r>
              <w:rPr>
                <w:b/>
                <w:color w:val="454545"/>
              </w:rPr>
              <w:t xml:space="preserve"> Sejahtera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B6097DB" w14:textId="77777777" w:rsidR="00303994" w:rsidRDefault="00303994" w:rsidP="00F0287B">
            <w:pPr>
              <w:spacing w:before="43" w:after="30" w:line="300" w:lineRule="auto"/>
              <w:ind w:left="55"/>
            </w:pPr>
            <w:r>
              <w:rPr>
                <w:b/>
                <w:color w:val="454545"/>
              </w:rPr>
              <w:t>CID001421</w:t>
            </w:r>
          </w:p>
        </w:tc>
      </w:tr>
      <w:tr w:rsidR="00303994" w14:paraId="303494D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BC54D70"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B38A7E5" w14:textId="77777777" w:rsidR="00303994" w:rsidRDefault="00303994" w:rsidP="00F0287B">
            <w:pPr>
              <w:spacing w:before="43" w:after="30" w:line="300" w:lineRule="auto"/>
              <w:ind w:left="55"/>
            </w:pPr>
            <w:r>
              <w:rPr>
                <w:b/>
                <w:color w:val="454545"/>
              </w:rPr>
              <w:t xml:space="preserve">PT Bukit </w:t>
            </w:r>
            <w:proofErr w:type="spellStart"/>
            <w:r>
              <w:rPr>
                <w:b/>
                <w:color w:val="454545"/>
              </w:rPr>
              <w:t>Timah</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78DA661" w14:textId="77777777" w:rsidR="00303994" w:rsidRDefault="00303994" w:rsidP="00F0287B">
            <w:pPr>
              <w:spacing w:before="43" w:after="30" w:line="300" w:lineRule="auto"/>
              <w:ind w:left="55"/>
            </w:pPr>
            <w:r>
              <w:rPr>
                <w:b/>
                <w:color w:val="454545"/>
              </w:rPr>
              <w:t>CID001428</w:t>
            </w:r>
          </w:p>
        </w:tc>
      </w:tr>
      <w:tr w:rsidR="00303994" w14:paraId="783AC1E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C3E6EB1" w14:textId="77777777" w:rsidR="00303994" w:rsidRDefault="00303994" w:rsidP="00F0287B">
            <w:pPr>
              <w:spacing w:before="43" w:after="30" w:line="300" w:lineRule="auto"/>
              <w:ind w:left="55"/>
            </w:pPr>
            <w:r>
              <w:rPr>
                <w:b/>
                <w:color w:val="454545"/>
              </w:rPr>
              <w:lastRenderedPageBreak/>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22968CC" w14:textId="77777777" w:rsidR="00303994" w:rsidRDefault="00303994" w:rsidP="00F0287B">
            <w:pPr>
              <w:spacing w:before="43" w:after="30" w:line="300" w:lineRule="auto"/>
              <w:ind w:left="55"/>
            </w:pPr>
            <w:r>
              <w:rPr>
                <w:b/>
                <w:color w:val="454545"/>
              </w:rPr>
              <w:t xml:space="preserve">PT </w:t>
            </w:r>
            <w:proofErr w:type="spellStart"/>
            <w:r>
              <w:rPr>
                <w:b/>
                <w:color w:val="454545"/>
              </w:rPr>
              <w:t>Cipta</w:t>
            </w:r>
            <w:proofErr w:type="spellEnd"/>
            <w:r>
              <w:rPr>
                <w:b/>
                <w:color w:val="454545"/>
              </w:rPr>
              <w:t xml:space="preserve"> </w:t>
            </w:r>
            <w:proofErr w:type="spellStart"/>
            <w:r>
              <w:rPr>
                <w:b/>
                <w:color w:val="454545"/>
              </w:rPr>
              <w:t>Persada</w:t>
            </w:r>
            <w:proofErr w:type="spellEnd"/>
            <w:r>
              <w:rPr>
                <w:b/>
                <w:color w:val="454545"/>
              </w:rPr>
              <w:t xml:space="preserve"> </w:t>
            </w:r>
            <w:proofErr w:type="spellStart"/>
            <w:r>
              <w:rPr>
                <w:b/>
                <w:color w:val="454545"/>
              </w:rPr>
              <w:t>Mulia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9A6348B" w14:textId="77777777" w:rsidR="00303994" w:rsidRDefault="00303994" w:rsidP="00F0287B">
            <w:pPr>
              <w:spacing w:before="43" w:after="30" w:line="300" w:lineRule="auto"/>
              <w:ind w:left="55"/>
            </w:pPr>
            <w:r>
              <w:rPr>
                <w:b/>
                <w:color w:val="454545"/>
              </w:rPr>
              <w:t>CID002696</w:t>
            </w:r>
          </w:p>
        </w:tc>
      </w:tr>
      <w:tr w:rsidR="00303994" w14:paraId="449BADF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12E0CF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B358C8" w14:textId="77777777" w:rsidR="00303994" w:rsidRDefault="00303994" w:rsidP="00F0287B">
            <w:pPr>
              <w:spacing w:before="43" w:after="30" w:line="300" w:lineRule="auto"/>
              <w:ind w:left="55"/>
            </w:pPr>
            <w:r>
              <w:rPr>
                <w:b/>
                <w:color w:val="454545"/>
              </w:rPr>
              <w:t xml:space="preserve">PT </w:t>
            </w:r>
            <w:proofErr w:type="spellStart"/>
            <w:r>
              <w:rPr>
                <w:b/>
                <w:color w:val="454545"/>
              </w:rPr>
              <w:t>Masbro</w:t>
            </w:r>
            <w:proofErr w:type="spellEnd"/>
            <w:r>
              <w:rPr>
                <w:b/>
                <w:color w:val="454545"/>
              </w:rPr>
              <w:t xml:space="preserve"> </w:t>
            </w:r>
            <w:proofErr w:type="spellStart"/>
            <w:r>
              <w:rPr>
                <w:b/>
                <w:color w:val="454545"/>
              </w:rPr>
              <w:t>Alam</w:t>
            </w:r>
            <w:proofErr w:type="spellEnd"/>
            <w:r>
              <w:rPr>
                <w:b/>
                <w:color w:val="454545"/>
              </w:rPr>
              <w:t xml:space="preserve"> </w:t>
            </w:r>
            <w:proofErr w:type="spellStart"/>
            <w:r>
              <w:rPr>
                <w:b/>
                <w:color w:val="454545"/>
              </w:rPr>
              <w:t>Stania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161EBB1" w14:textId="77777777" w:rsidR="00303994" w:rsidRDefault="00303994" w:rsidP="00F0287B">
            <w:pPr>
              <w:spacing w:before="43" w:after="30" w:line="300" w:lineRule="auto"/>
              <w:ind w:left="55"/>
            </w:pPr>
            <w:r>
              <w:rPr>
                <w:b/>
                <w:color w:val="454545"/>
              </w:rPr>
              <w:t>CID003380</w:t>
            </w:r>
          </w:p>
        </w:tc>
      </w:tr>
      <w:tr w:rsidR="00303994" w14:paraId="36022F9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36E575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B1A7B2D" w14:textId="77777777" w:rsidR="00303994" w:rsidRDefault="00303994" w:rsidP="00F0287B">
            <w:pPr>
              <w:spacing w:before="43" w:after="30" w:line="300" w:lineRule="auto"/>
              <w:ind w:left="55"/>
            </w:pPr>
            <w:r>
              <w:rPr>
                <w:b/>
                <w:color w:val="454545"/>
              </w:rPr>
              <w:t xml:space="preserve">PT Menara </w:t>
            </w:r>
            <w:proofErr w:type="spellStart"/>
            <w:r>
              <w:rPr>
                <w:b/>
                <w:color w:val="454545"/>
              </w:rPr>
              <w:t>Cipta</w:t>
            </w:r>
            <w:proofErr w:type="spellEnd"/>
            <w:r>
              <w:rPr>
                <w:b/>
                <w:color w:val="454545"/>
              </w:rPr>
              <w:t xml:space="preserve"> </w:t>
            </w:r>
            <w:proofErr w:type="spellStart"/>
            <w:r>
              <w:rPr>
                <w:b/>
                <w:color w:val="454545"/>
              </w:rPr>
              <w:t>Mulia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1F458DF" w14:textId="77777777" w:rsidR="00303994" w:rsidRDefault="00303994" w:rsidP="00F0287B">
            <w:pPr>
              <w:spacing w:before="43" w:after="30" w:line="300" w:lineRule="auto"/>
              <w:ind w:left="55"/>
            </w:pPr>
            <w:r>
              <w:rPr>
                <w:b/>
                <w:color w:val="454545"/>
              </w:rPr>
              <w:t>CID002835</w:t>
            </w:r>
          </w:p>
        </w:tc>
      </w:tr>
      <w:tr w:rsidR="00303994" w14:paraId="01AECA5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CE87FC3"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E7A0F64" w14:textId="77777777" w:rsidR="00303994" w:rsidRDefault="00303994" w:rsidP="00F0287B">
            <w:pPr>
              <w:spacing w:before="43" w:after="30" w:line="300" w:lineRule="auto"/>
              <w:ind w:left="55"/>
            </w:pPr>
            <w:r>
              <w:rPr>
                <w:b/>
                <w:color w:val="454545"/>
              </w:rPr>
              <w:t xml:space="preserve">PT Mitra </w:t>
            </w:r>
            <w:proofErr w:type="spellStart"/>
            <w:r>
              <w:rPr>
                <w:b/>
                <w:color w:val="454545"/>
              </w:rPr>
              <w:t>Stania</w:t>
            </w:r>
            <w:proofErr w:type="spellEnd"/>
            <w:r>
              <w:rPr>
                <w:b/>
                <w:color w:val="454545"/>
              </w:rPr>
              <w:t xml:space="preserve"> Prima**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BAD47F8" w14:textId="77777777" w:rsidR="00303994" w:rsidRDefault="00303994" w:rsidP="00F0287B">
            <w:pPr>
              <w:spacing w:before="43" w:after="30" w:line="300" w:lineRule="auto"/>
              <w:ind w:left="55"/>
            </w:pPr>
            <w:r>
              <w:rPr>
                <w:b/>
                <w:color w:val="454545"/>
              </w:rPr>
              <w:t>CID001453</w:t>
            </w:r>
          </w:p>
        </w:tc>
      </w:tr>
      <w:tr w:rsidR="00303994" w14:paraId="01CC8FC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962063"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F653E32" w14:textId="77777777" w:rsidR="00303994" w:rsidRDefault="00303994" w:rsidP="00F0287B">
            <w:pPr>
              <w:spacing w:before="43" w:after="30" w:line="300" w:lineRule="auto"/>
              <w:ind w:left="55"/>
            </w:pPr>
            <w:r>
              <w:rPr>
                <w:b/>
                <w:color w:val="454545"/>
              </w:rPr>
              <w:t xml:space="preserve">PT Mitra </w:t>
            </w:r>
            <w:proofErr w:type="spellStart"/>
            <w:r>
              <w:rPr>
                <w:b/>
                <w:color w:val="454545"/>
              </w:rPr>
              <w:t>Sukses</w:t>
            </w:r>
            <w:proofErr w:type="spellEnd"/>
            <w:r>
              <w:rPr>
                <w:b/>
                <w:color w:val="454545"/>
              </w:rPr>
              <w:t xml:space="preserve"> </w:t>
            </w:r>
            <w:proofErr w:type="spellStart"/>
            <w:r>
              <w:rPr>
                <w:b/>
                <w:color w:val="454545"/>
              </w:rPr>
              <w:t>Globalindo</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A0FF8E6" w14:textId="77777777" w:rsidR="00303994" w:rsidRDefault="00303994" w:rsidP="00F0287B">
            <w:pPr>
              <w:spacing w:before="43" w:after="30" w:line="300" w:lineRule="auto"/>
              <w:ind w:left="55"/>
            </w:pPr>
            <w:r>
              <w:rPr>
                <w:b/>
                <w:color w:val="454545"/>
              </w:rPr>
              <w:t>CID003449</w:t>
            </w:r>
          </w:p>
        </w:tc>
      </w:tr>
      <w:tr w:rsidR="00303994" w14:paraId="72DF326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FB3D727"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51A632" w14:textId="77777777" w:rsidR="00303994" w:rsidRDefault="00303994" w:rsidP="00F0287B">
            <w:pPr>
              <w:spacing w:before="43" w:after="30" w:line="300" w:lineRule="auto"/>
              <w:ind w:left="55"/>
            </w:pPr>
            <w:r>
              <w:rPr>
                <w:b/>
                <w:color w:val="454545"/>
              </w:rPr>
              <w:t xml:space="preserve">PT </w:t>
            </w:r>
            <w:proofErr w:type="spellStart"/>
            <w:r>
              <w:rPr>
                <w:b/>
                <w:color w:val="454545"/>
              </w:rPr>
              <w:t>Panca</w:t>
            </w:r>
            <w:proofErr w:type="spellEnd"/>
            <w:r>
              <w:rPr>
                <w:b/>
                <w:color w:val="454545"/>
              </w:rPr>
              <w:t xml:space="preserve"> Mega </w:t>
            </w:r>
            <w:proofErr w:type="spellStart"/>
            <w:r>
              <w:rPr>
                <w:b/>
                <w:color w:val="454545"/>
              </w:rPr>
              <w:t>Persada</w:t>
            </w:r>
            <w:proofErr w:type="spellEnd"/>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461B164" w14:textId="77777777" w:rsidR="00303994" w:rsidRDefault="00303994" w:rsidP="00F0287B">
            <w:pPr>
              <w:spacing w:before="43" w:after="30" w:line="300" w:lineRule="auto"/>
              <w:ind w:left="55"/>
            </w:pPr>
            <w:r>
              <w:rPr>
                <w:b/>
                <w:color w:val="454545"/>
              </w:rPr>
              <w:t>CID001457</w:t>
            </w:r>
          </w:p>
        </w:tc>
      </w:tr>
      <w:tr w:rsidR="00303994" w14:paraId="625A637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79C8009"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9E8E084" w14:textId="77777777" w:rsidR="00303994" w:rsidRDefault="00303994" w:rsidP="00F0287B">
            <w:pPr>
              <w:spacing w:before="43" w:after="30" w:line="300" w:lineRule="auto"/>
              <w:ind w:left="55"/>
            </w:pPr>
            <w:r>
              <w:rPr>
                <w:b/>
                <w:color w:val="454545"/>
              </w:rPr>
              <w:t xml:space="preserve">PT Prima </w:t>
            </w:r>
            <w:proofErr w:type="spellStart"/>
            <w:r>
              <w:rPr>
                <w:b/>
                <w:color w:val="454545"/>
              </w:rPr>
              <w:t>Timah</w:t>
            </w:r>
            <w:proofErr w:type="spellEnd"/>
            <w:r>
              <w:rPr>
                <w:b/>
                <w:color w:val="454545"/>
              </w:rPr>
              <w:t xml:space="preserve"> Utama**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5F9FC8D" w14:textId="77777777" w:rsidR="00303994" w:rsidRDefault="00303994" w:rsidP="00F0287B">
            <w:pPr>
              <w:spacing w:before="43" w:after="30" w:line="300" w:lineRule="auto"/>
              <w:ind w:left="55"/>
            </w:pPr>
            <w:r>
              <w:rPr>
                <w:b/>
                <w:color w:val="454545"/>
              </w:rPr>
              <w:t>CID001458</w:t>
            </w:r>
          </w:p>
        </w:tc>
      </w:tr>
      <w:tr w:rsidR="00303994" w14:paraId="7624667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0A6DFEA"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CE8EE5F" w14:textId="77777777" w:rsidR="00303994" w:rsidRDefault="00303994" w:rsidP="00F0287B">
            <w:pPr>
              <w:spacing w:before="43" w:after="30" w:line="300" w:lineRule="auto"/>
              <w:ind w:left="55"/>
            </w:pPr>
            <w:r>
              <w:rPr>
                <w:b/>
                <w:color w:val="454545"/>
              </w:rPr>
              <w:t xml:space="preserve">PT </w:t>
            </w:r>
            <w:proofErr w:type="spellStart"/>
            <w:r>
              <w:rPr>
                <w:b/>
                <w:color w:val="454545"/>
              </w:rPr>
              <w:t>Rajawali</w:t>
            </w:r>
            <w:proofErr w:type="spellEnd"/>
            <w:r>
              <w:rPr>
                <w:b/>
                <w:color w:val="454545"/>
              </w:rPr>
              <w:t xml:space="preserve"> Rimba Perkasa**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F0D8E99" w14:textId="77777777" w:rsidR="00303994" w:rsidRDefault="00303994" w:rsidP="00F0287B">
            <w:pPr>
              <w:spacing w:before="43" w:after="30" w:line="300" w:lineRule="auto"/>
              <w:ind w:left="55"/>
            </w:pPr>
            <w:r>
              <w:rPr>
                <w:b/>
                <w:color w:val="454545"/>
              </w:rPr>
              <w:t>CID003381</w:t>
            </w:r>
          </w:p>
        </w:tc>
      </w:tr>
      <w:tr w:rsidR="00303994" w14:paraId="496A1D4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7C9A41"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036AF84" w14:textId="77777777" w:rsidR="00303994" w:rsidRDefault="00303994" w:rsidP="00F0287B">
            <w:pPr>
              <w:spacing w:before="43" w:after="30" w:line="300" w:lineRule="auto"/>
              <w:ind w:left="55"/>
            </w:pPr>
            <w:r>
              <w:rPr>
                <w:b/>
                <w:color w:val="454545"/>
              </w:rPr>
              <w:t>PT Refined Bangka Tin**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CF83731" w14:textId="77777777" w:rsidR="00303994" w:rsidRDefault="00303994" w:rsidP="00F0287B">
            <w:pPr>
              <w:spacing w:before="43" w:after="30" w:line="300" w:lineRule="auto"/>
              <w:ind w:left="55"/>
            </w:pPr>
            <w:r>
              <w:rPr>
                <w:b/>
                <w:color w:val="454545"/>
              </w:rPr>
              <w:t>CID001460</w:t>
            </w:r>
          </w:p>
        </w:tc>
      </w:tr>
      <w:tr w:rsidR="00303994" w14:paraId="3FAC45F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6F21BC4"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11FE20F" w14:textId="77777777" w:rsidR="00303994" w:rsidRDefault="00303994" w:rsidP="00F0287B">
            <w:pPr>
              <w:spacing w:before="43" w:after="30" w:line="300" w:lineRule="auto"/>
              <w:ind w:left="55"/>
            </w:pPr>
            <w:r>
              <w:rPr>
                <w:b/>
                <w:color w:val="454545"/>
              </w:rPr>
              <w:t xml:space="preserve">PT </w:t>
            </w:r>
            <w:proofErr w:type="spellStart"/>
            <w:r>
              <w:rPr>
                <w:b/>
                <w:color w:val="454545"/>
              </w:rPr>
              <w:t>Sariwiguna</w:t>
            </w:r>
            <w:proofErr w:type="spellEnd"/>
            <w:r>
              <w:rPr>
                <w:b/>
                <w:color w:val="454545"/>
              </w:rPr>
              <w:t xml:space="preserve"> </w:t>
            </w:r>
            <w:proofErr w:type="spellStart"/>
            <w:r>
              <w:rPr>
                <w:b/>
                <w:color w:val="454545"/>
              </w:rPr>
              <w:t>Binasentosa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F30013D" w14:textId="77777777" w:rsidR="00303994" w:rsidRDefault="00303994" w:rsidP="00F0287B">
            <w:pPr>
              <w:spacing w:before="43" w:after="30" w:line="300" w:lineRule="auto"/>
              <w:ind w:left="55"/>
            </w:pPr>
            <w:r>
              <w:rPr>
                <w:b/>
                <w:color w:val="454545"/>
              </w:rPr>
              <w:t>CID001463</w:t>
            </w:r>
          </w:p>
        </w:tc>
      </w:tr>
      <w:tr w:rsidR="00303994" w14:paraId="0E1B331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F042503"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0CC498" w14:textId="77777777" w:rsidR="00303994" w:rsidRDefault="00303994" w:rsidP="00F0287B">
            <w:pPr>
              <w:spacing w:before="43" w:after="30" w:line="300" w:lineRule="auto"/>
              <w:ind w:left="55"/>
            </w:pPr>
            <w:r>
              <w:rPr>
                <w:b/>
                <w:color w:val="454545"/>
              </w:rPr>
              <w:t xml:space="preserve">PT </w:t>
            </w:r>
            <w:proofErr w:type="spellStart"/>
            <w:r>
              <w:rPr>
                <w:b/>
                <w:color w:val="454545"/>
              </w:rPr>
              <w:t>Stanindo</w:t>
            </w:r>
            <w:proofErr w:type="spellEnd"/>
            <w:r>
              <w:rPr>
                <w:b/>
                <w:color w:val="454545"/>
              </w:rPr>
              <w:t xml:space="preserve"> Inti Perkasa**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DDEF9A0" w14:textId="77777777" w:rsidR="00303994" w:rsidRDefault="00303994" w:rsidP="00F0287B">
            <w:pPr>
              <w:spacing w:before="43" w:after="30" w:line="300" w:lineRule="auto"/>
              <w:ind w:left="55"/>
            </w:pPr>
            <w:r>
              <w:rPr>
                <w:b/>
                <w:color w:val="454545"/>
              </w:rPr>
              <w:t>CID001468</w:t>
            </w:r>
          </w:p>
        </w:tc>
      </w:tr>
      <w:tr w:rsidR="00303994" w14:paraId="51E0999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483A32A"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91769BD" w14:textId="77777777" w:rsidR="00303994" w:rsidRDefault="00303994" w:rsidP="00F0287B">
            <w:pPr>
              <w:spacing w:before="43" w:after="30" w:line="300" w:lineRule="auto"/>
              <w:ind w:left="55"/>
            </w:pPr>
            <w:r>
              <w:rPr>
                <w:b/>
                <w:color w:val="454545"/>
              </w:rPr>
              <w:t xml:space="preserve">PT </w:t>
            </w:r>
            <w:proofErr w:type="spellStart"/>
            <w:r>
              <w:rPr>
                <w:b/>
                <w:color w:val="454545"/>
              </w:rPr>
              <w:t>Sukses</w:t>
            </w:r>
            <w:proofErr w:type="spellEnd"/>
            <w:r>
              <w:rPr>
                <w:b/>
                <w:color w:val="454545"/>
              </w:rPr>
              <w:t xml:space="preserve"> Inti Makmur**</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2402537" w14:textId="77777777" w:rsidR="00303994" w:rsidRDefault="00303994" w:rsidP="00F0287B">
            <w:pPr>
              <w:spacing w:before="43" w:after="30" w:line="300" w:lineRule="auto"/>
              <w:ind w:left="55"/>
            </w:pPr>
            <w:r>
              <w:rPr>
                <w:b/>
                <w:color w:val="454545"/>
              </w:rPr>
              <w:t>CID002816</w:t>
            </w:r>
          </w:p>
        </w:tc>
      </w:tr>
      <w:tr w:rsidR="00303994" w14:paraId="4FACF2C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07194F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6DAB45" w14:textId="77777777" w:rsidR="00303994" w:rsidRDefault="00303994" w:rsidP="00F0287B">
            <w:pPr>
              <w:spacing w:before="43" w:after="30" w:line="300" w:lineRule="auto"/>
              <w:ind w:left="55"/>
            </w:pPr>
            <w:r>
              <w:rPr>
                <w:b/>
                <w:color w:val="454545"/>
              </w:rPr>
              <w:t xml:space="preserve">PT </w:t>
            </w:r>
            <w:proofErr w:type="spellStart"/>
            <w:r>
              <w:rPr>
                <w:b/>
                <w:color w:val="454545"/>
              </w:rPr>
              <w:t>Timah</w:t>
            </w:r>
            <w:proofErr w:type="spellEnd"/>
            <w:r>
              <w:rPr>
                <w:b/>
                <w:color w:val="454545"/>
              </w:rPr>
              <w:t xml:space="preserve"> Nusantara**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A50251F" w14:textId="77777777" w:rsidR="00303994" w:rsidRDefault="00303994" w:rsidP="00F0287B">
            <w:pPr>
              <w:spacing w:before="43" w:after="30" w:line="300" w:lineRule="auto"/>
              <w:ind w:left="55"/>
            </w:pPr>
            <w:r>
              <w:rPr>
                <w:b/>
                <w:color w:val="454545"/>
              </w:rPr>
              <w:t>CID001486</w:t>
            </w:r>
          </w:p>
        </w:tc>
      </w:tr>
      <w:tr w:rsidR="00303994" w14:paraId="2FFD133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EB6276"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92D275A" w14:textId="77777777" w:rsidR="00303994" w:rsidRDefault="00303994" w:rsidP="00F0287B">
            <w:pPr>
              <w:spacing w:before="43" w:after="30" w:line="300" w:lineRule="auto"/>
              <w:ind w:left="55"/>
            </w:pPr>
            <w:r>
              <w:rPr>
                <w:b/>
                <w:color w:val="454545"/>
              </w:rPr>
              <w:t xml:space="preserve">PT </w:t>
            </w:r>
            <w:proofErr w:type="spellStart"/>
            <w:r>
              <w:rPr>
                <w:b/>
                <w:color w:val="454545"/>
              </w:rPr>
              <w:t>Timah</w:t>
            </w:r>
            <w:proofErr w:type="spellEnd"/>
            <w:r>
              <w:rPr>
                <w:b/>
                <w:color w:val="454545"/>
              </w:rPr>
              <w:t xml:space="preserve"> </w:t>
            </w:r>
            <w:proofErr w:type="spellStart"/>
            <w:r>
              <w:rPr>
                <w:b/>
                <w:color w:val="454545"/>
              </w:rPr>
              <w:t>Tbk</w:t>
            </w:r>
            <w:proofErr w:type="spellEnd"/>
            <w:r>
              <w:rPr>
                <w:b/>
                <w:color w:val="454545"/>
              </w:rPr>
              <w:t xml:space="preserve"> </w:t>
            </w:r>
            <w:proofErr w:type="spellStart"/>
            <w:r>
              <w:rPr>
                <w:b/>
                <w:color w:val="454545"/>
              </w:rPr>
              <w:t>Kundur</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44B8369" w14:textId="77777777" w:rsidR="00303994" w:rsidRDefault="00303994" w:rsidP="00F0287B">
            <w:pPr>
              <w:spacing w:before="43" w:after="30" w:line="300" w:lineRule="auto"/>
              <w:ind w:left="55"/>
            </w:pPr>
            <w:r>
              <w:rPr>
                <w:b/>
                <w:color w:val="454545"/>
              </w:rPr>
              <w:t>CID001477</w:t>
            </w:r>
          </w:p>
        </w:tc>
      </w:tr>
      <w:tr w:rsidR="00303994" w14:paraId="007E058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D6BDB6"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38A058" w14:textId="77777777" w:rsidR="00303994" w:rsidRDefault="00303994" w:rsidP="00F0287B">
            <w:pPr>
              <w:spacing w:before="43" w:after="30" w:line="300" w:lineRule="auto"/>
              <w:ind w:left="55"/>
            </w:pPr>
            <w:r>
              <w:rPr>
                <w:b/>
                <w:color w:val="454545"/>
              </w:rPr>
              <w:t xml:space="preserve">PT </w:t>
            </w:r>
            <w:proofErr w:type="spellStart"/>
            <w:r>
              <w:rPr>
                <w:b/>
                <w:color w:val="454545"/>
              </w:rPr>
              <w:t>Timah</w:t>
            </w:r>
            <w:proofErr w:type="spellEnd"/>
            <w:r>
              <w:rPr>
                <w:b/>
                <w:color w:val="454545"/>
              </w:rPr>
              <w:t xml:space="preserve"> </w:t>
            </w:r>
            <w:proofErr w:type="spellStart"/>
            <w:r>
              <w:rPr>
                <w:b/>
                <w:color w:val="454545"/>
              </w:rPr>
              <w:t>Tbk</w:t>
            </w:r>
            <w:proofErr w:type="spellEnd"/>
            <w:r>
              <w:rPr>
                <w:b/>
                <w:color w:val="454545"/>
              </w:rPr>
              <w:t xml:space="preserve"> </w:t>
            </w:r>
            <w:proofErr w:type="spellStart"/>
            <w:r>
              <w:rPr>
                <w:b/>
                <w:color w:val="454545"/>
              </w:rPr>
              <w:t>Mentok</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66C36C6" w14:textId="77777777" w:rsidR="00303994" w:rsidRDefault="00303994" w:rsidP="00F0287B">
            <w:pPr>
              <w:spacing w:before="43" w:after="30" w:line="300" w:lineRule="auto"/>
              <w:ind w:left="55"/>
            </w:pPr>
            <w:r>
              <w:rPr>
                <w:b/>
                <w:color w:val="454545"/>
              </w:rPr>
              <w:t>CID001482</w:t>
            </w:r>
          </w:p>
        </w:tc>
      </w:tr>
      <w:tr w:rsidR="00303994" w14:paraId="26BD706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DA5C27C"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B22F7B9" w14:textId="77777777" w:rsidR="00303994" w:rsidRDefault="00303994" w:rsidP="00F0287B">
            <w:pPr>
              <w:spacing w:before="43" w:after="30" w:line="300" w:lineRule="auto"/>
              <w:ind w:left="55"/>
            </w:pPr>
            <w:r>
              <w:rPr>
                <w:b/>
                <w:color w:val="454545"/>
              </w:rPr>
              <w:t xml:space="preserve">PT </w:t>
            </w:r>
            <w:proofErr w:type="spellStart"/>
            <w:r>
              <w:rPr>
                <w:b/>
                <w:color w:val="454545"/>
              </w:rPr>
              <w:t>Tinindo</w:t>
            </w:r>
            <w:proofErr w:type="spellEnd"/>
            <w:r>
              <w:rPr>
                <w:b/>
                <w:color w:val="454545"/>
              </w:rPr>
              <w:t xml:space="preserve"> Inter Nusa**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7865024" w14:textId="77777777" w:rsidR="00303994" w:rsidRDefault="00303994" w:rsidP="00F0287B">
            <w:pPr>
              <w:spacing w:before="43" w:after="30" w:line="300" w:lineRule="auto"/>
              <w:ind w:left="55"/>
            </w:pPr>
            <w:r>
              <w:rPr>
                <w:b/>
                <w:color w:val="454545"/>
              </w:rPr>
              <w:t>CID001490</w:t>
            </w:r>
          </w:p>
        </w:tc>
      </w:tr>
      <w:tr w:rsidR="00303994" w14:paraId="595A577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C8E453C"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902E784" w14:textId="77777777" w:rsidR="00303994" w:rsidRDefault="00303994" w:rsidP="00F0287B">
            <w:pPr>
              <w:spacing w:before="43" w:after="30" w:line="300" w:lineRule="auto"/>
              <w:ind w:left="55"/>
            </w:pPr>
            <w:r>
              <w:rPr>
                <w:b/>
                <w:color w:val="454545"/>
              </w:rPr>
              <w:t xml:space="preserve">PT </w:t>
            </w:r>
            <w:proofErr w:type="spellStart"/>
            <w:r>
              <w:rPr>
                <w:b/>
                <w:color w:val="454545"/>
              </w:rPr>
              <w:t>Tirus</w:t>
            </w:r>
            <w:proofErr w:type="spellEnd"/>
            <w:r>
              <w:rPr>
                <w:b/>
                <w:color w:val="454545"/>
              </w:rPr>
              <w:t xml:space="preserve"> Putra </w:t>
            </w:r>
            <w:proofErr w:type="spellStart"/>
            <w:r>
              <w:rPr>
                <w:b/>
                <w:color w:val="454545"/>
              </w:rPr>
              <w:t>Mandiri</w:t>
            </w:r>
            <w:proofErr w:type="spellEnd"/>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F7868D3" w14:textId="77777777" w:rsidR="00303994" w:rsidRDefault="00303994" w:rsidP="00F0287B">
            <w:pPr>
              <w:spacing w:before="43" w:after="30" w:line="300" w:lineRule="auto"/>
              <w:ind w:left="55"/>
            </w:pPr>
            <w:r>
              <w:rPr>
                <w:b/>
                <w:color w:val="454545"/>
              </w:rPr>
              <w:t>CID002478</w:t>
            </w:r>
          </w:p>
        </w:tc>
      </w:tr>
      <w:tr w:rsidR="00303994" w14:paraId="7497EDE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DB6BBD"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C1323C" w14:textId="77777777" w:rsidR="00303994" w:rsidRDefault="00303994" w:rsidP="00F0287B">
            <w:pPr>
              <w:spacing w:before="43" w:after="30" w:line="300" w:lineRule="auto"/>
              <w:ind w:left="55"/>
            </w:pPr>
            <w:r>
              <w:rPr>
                <w:b/>
                <w:color w:val="454545"/>
              </w:rPr>
              <w:t>PT Tommy Utama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B11C50" w14:textId="77777777" w:rsidR="00303994" w:rsidRDefault="00303994" w:rsidP="00F0287B">
            <w:pPr>
              <w:spacing w:before="43" w:after="30" w:line="300" w:lineRule="auto"/>
              <w:ind w:left="55"/>
            </w:pPr>
            <w:r>
              <w:rPr>
                <w:b/>
                <w:color w:val="454545"/>
              </w:rPr>
              <w:t>CID001493</w:t>
            </w:r>
          </w:p>
        </w:tc>
      </w:tr>
      <w:tr w:rsidR="00303994" w14:paraId="0E9AE2C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38F4DC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A88E03" w14:textId="77777777" w:rsidR="00303994" w:rsidRDefault="00303994" w:rsidP="00F0287B">
            <w:pPr>
              <w:spacing w:before="43" w:after="30" w:line="300" w:lineRule="auto"/>
              <w:ind w:left="55"/>
            </w:pPr>
            <w:proofErr w:type="spellStart"/>
            <w:r>
              <w:rPr>
                <w:b/>
                <w:color w:val="454545"/>
              </w:rPr>
              <w:t>Resind</w:t>
            </w:r>
            <w:proofErr w:type="spellEnd"/>
            <w:r>
              <w:rPr>
                <w:b/>
                <w:color w:val="454545"/>
              </w:rPr>
              <w:t xml:space="preserve"> </w:t>
            </w:r>
            <w:proofErr w:type="spellStart"/>
            <w:r>
              <w:rPr>
                <w:b/>
                <w:color w:val="454545"/>
              </w:rPr>
              <w:t>Industria</w:t>
            </w:r>
            <w:proofErr w:type="spellEnd"/>
            <w:r>
              <w:rPr>
                <w:b/>
                <w:color w:val="454545"/>
              </w:rPr>
              <w:t xml:space="preserve"> e Comercio Ltda.**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C5CC913" w14:textId="77777777" w:rsidR="00303994" w:rsidRDefault="00303994" w:rsidP="00F0287B">
            <w:pPr>
              <w:spacing w:before="43" w:after="30" w:line="300" w:lineRule="auto"/>
              <w:ind w:left="55"/>
            </w:pPr>
            <w:r>
              <w:rPr>
                <w:b/>
                <w:color w:val="454545"/>
              </w:rPr>
              <w:t>CID002706</w:t>
            </w:r>
          </w:p>
        </w:tc>
      </w:tr>
      <w:tr w:rsidR="00303994" w14:paraId="5340F8D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F9BB89"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9C642B" w14:textId="77777777" w:rsidR="00303994" w:rsidRDefault="00303994" w:rsidP="00F0287B">
            <w:pPr>
              <w:spacing w:before="43" w:after="30" w:line="300" w:lineRule="auto"/>
              <w:ind w:left="55"/>
            </w:pPr>
            <w:r>
              <w:rPr>
                <w:b/>
                <w:color w:val="454545"/>
              </w:rPr>
              <w:t>Rui Da Hung**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BBB8097" w14:textId="77777777" w:rsidR="00303994" w:rsidRDefault="00303994" w:rsidP="00F0287B">
            <w:pPr>
              <w:spacing w:before="43" w:after="30" w:line="300" w:lineRule="auto"/>
              <w:ind w:left="55"/>
            </w:pPr>
            <w:r>
              <w:rPr>
                <w:b/>
                <w:color w:val="454545"/>
              </w:rPr>
              <w:t>CID001539</w:t>
            </w:r>
          </w:p>
        </w:tc>
      </w:tr>
      <w:tr w:rsidR="00303994" w14:paraId="76C98FD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E967391"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CDC755D" w14:textId="77777777" w:rsidR="00303994" w:rsidRDefault="00303994" w:rsidP="00F0287B">
            <w:pPr>
              <w:spacing w:before="43" w:after="30" w:line="300" w:lineRule="auto"/>
              <w:ind w:left="55"/>
            </w:pPr>
            <w:r>
              <w:rPr>
                <w:b/>
                <w:color w:val="454545"/>
              </w:rPr>
              <w:t xml:space="preserve">Soft </w:t>
            </w:r>
            <w:proofErr w:type="spellStart"/>
            <w:r>
              <w:rPr>
                <w:b/>
                <w:color w:val="454545"/>
              </w:rPr>
              <w:t>Metais</w:t>
            </w:r>
            <w:proofErr w:type="spellEnd"/>
            <w:r>
              <w:rPr>
                <w:b/>
                <w:color w:val="454545"/>
              </w:rPr>
              <w:t xml:space="preserve"> Ltda.**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08F5C02" w14:textId="77777777" w:rsidR="00303994" w:rsidRDefault="00303994" w:rsidP="00F0287B">
            <w:pPr>
              <w:spacing w:before="43" w:after="30" w:line="300" w:lineRule="auto"/>
              <w:ind w:left="55"/>
            </w:pPr>
            <w:r>
              <w:rPr>
                <w:b/>
                <w:color w:val="454545"/>
              </w:rPr>
              <w:t>CID001758</w:t>
            </w:r>
          </w:p>
        </w:tc>
      </w:tr>
      <w:tr w:rsidR="00303994" w14:paraId="556BD89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DA11B01"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895C9CF" w14:textId="77777777" w:rsidR="00303994" w:rsidRDefault="00303994" w:rsidP="00F0287B">
            <w:pPr>
              <w:spacing w:before="43" w:after="30" w:line="300" w:lineRule="auto"/>
              <w:ind w:left="55"/>
            </w:pPr>
            <w:r>
              <w:rPr>
                <w:b/>
                <w:color w:val="454545"/>
              </w:rPr>
              <w:t xml:space="preserve">Super </w:t>
            </w:r>
            <w:proofErr w:type="spellStart"/>
            <w:r>
              <w:rPr>
                <w:b/>
                <w:color w:val="454545"/>
              </w:rPr>
              <w:t>Ligas</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56BD8E0" w14:textId="77777777" w:rsidR="00303994" w:rsidRDefault="00303994" w:rsidP="00F0287B">
            <w:pPr>
              <w:spacing w:before="43" w:after="30" w:line="300" w:lineRule="auto"/>
              <w:ind w:left="55"/>
            </w:pPr>
            <w:r>
              <w:rPr>
                <w:b/>
                <w:color w:val="454545"/>
              </w:rPr>
              <w:t>CID002756</w:t>
            </w:r>
          </w:p>
        </w:tc>
      </w:tr>
      <w:tr w:rsidR="00303994" w14:paraId="42FC795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605905"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43D194" w14:textId="77777777" w:rsidR="00303994" w:rsidRDefault="00303994" w:rsidP="00F0287B">
            <w:pPr>
              <w:spacing w:before="43" w:after="30" w:line="300" w:lineRule="auto"/>
              <w:ind w:left="55"/>
            </w:pPr>
            <w:r>
              <w:rPr>
                <w:b/>
                <w:color w:val="454545"/>
              </w:rPr>
              <w:t>Thai Nguyen Mining and Metallurgy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0CC26E1" w14:textId="77777777" w:rsidR="00303994" w:rsidRDefault="00303994" w:rsidP="00F0287B">
            <w:pPr>
              <w:spacing w:before="43" w:after="30" w:line="300" w:lineRule="auto"/>
              <w:ind w:left="55"/>
            </w:pPr>
            <w:r>
              <w:rPr>
                <w:b/>
                <w:color w:val="454545"/>
              </w:rPr>
              <w:t>CID002834</w:t>
            </w:r>
          </w:p>
        </w:tc>
      </w:tr>
      <w:tr w:rsidR="00303994" w14:paraId="5F77295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AC855F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962678" w14:textId="77777777" w:rsidR="00303994" w:rsidRDefault="00303994" w:rsidP="00F0287B">
            <w:pPr>
              <w:spacing w:before="43" w:after="30" w:line="300" w:lineRule="auto"/>
              <w:ind w:left="55"/>
            </w:pPr>
            <w:proofErr w:type="spellStart"/>
            <w:r>
              <w:rPr>
                <w:b/>
                <w:color w:val="454545"/>
              </w:rPr>
              <w:t>Thaisarco</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54E7F50" w14:textId="77777777" w:rsidR="00303994" w:rsidRDefault="00303994" w:rsidP="00F0287B">
            <w:pPr>
              <w:spacing w:before="43" w:after="30" w:line="300" w:lineRule="auto"/>
              <w:ind w:left="55"/>
            </w:pPr>
            <w:r>
              <w:rPr>
                <w:b/>
                <w:color w:val="454545"/>
              </w:rPr>
              <w:t>CID001898</w:t>
            </w:r>
          </w:p>
        </w:tc>
      </w:tr>
      <w:tr w:rsidR="00303994" w14:paraId="2B1C8D9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7972B9"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332309" w14:textId="77777777" w:rsidR="00303994" w:rsidRDefault="00303994" w:rsidP="00F0287B">
            <w:pPr>
              <w:spacing w:before="43" w:after="30" w:line="300" w:lineRule="auto"/>
              <w:ind w:left="55"/>
            </w:pPr>
            <w:r>
              <w:rPr>
                <w:b/>
                <w:color w:val="454545"/>
              </w:rPr>
              <w:t>Tin Smelting Branch of Yunnan Tin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D3E59E" w14:textId="77777777" w:rsidR="00303994" w:rsidRDefault="00303994" w:rsidP="00F0287B">
            <w:pPr>
              <w:spacing w:before="43" w:after="30" w:line="300" w:lineRule="auto"/>
              <w:ind w:left="55"/>
            </w:pPr>
            <w:r>
              <w:rPr>
                <w:b/>
                <w:color w:val="454545"/>
              </w:rPr>
              <w:t>CID002180</w:t>
            </w:r>
          </w:p>
        </w:tc>
      </w:tr>
      <w:tr w:rsidR="00303994" w14:paraId="03889E2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171376C"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F67E1FA" w14:textId="77777777" w:rsidR="00303994" w:rsidRDefault="00303994" w:rsidP="00F0287B">
            <w:pPr>
              <w:spacing w:before="43" w:after="30" w:line="300" w:lineRule="auto"/>
              <w:ind w:left="55"/>
            </w:pPr>
            <w:r>
              <w:rPr>
                <w:b/>
                <w:color w:val="454545"/>
              </w:rPr>
              <w:t>Tin Technology &amp; Refining**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F55396A" w14:textId="77777777" w:rsidR="00303994" w:rsidRDefault="00303994" w:rsidP="00F0287B">
            <w:pPr>
              <w:spacing w:before="43" w:after="30" w:line="300" w:lineRule="auto"/>
              <w:ind w:left="55"/>
            </w:pPr>
            <w:r>
              <w:rPr>
                <w:b/>
                <w:color w:val="454545"/>
              </w:rPr>
              <w:t>CID003325</w:t>
            </w:r>
          </w:p>
        </w:tc>
      </w:tr>
      <w:tr w:rsidR="00303994" w14:paraId="16F70E3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2827BE"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E897B3E" w14:textId="77777777" w:rsidR="00303994" w:rsidRDefault="00303994" w:rsidP="00F0287B">
            <w:pPr>
              <w:spacing w:before="43" w:after="30" w:line="300" w:lineRule="auto"/>
              <w:ind w:left="55"/>
            </w:pPr>
            <w:r>
              <w:rPr>
                <w:b/>
                <w:color w:val="454545"/>
              </w:rPr>
              <w:t>Tuyen Quang Non-Ferrous Metals Joint Stock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B49BD7C" w14:textId="77777777" w:rsidR="00303994" w:rsidRDefault="00303994" w:rsidP="00F0287B">
            <w:pPr>
              <w:spacing w:before="43" w:after="30" w:line="300" w:lineRule="auto"/>
              <w:ind w:left="55"/>
            </w:pPr>
            <w:r>
              <w:rPr>
                <w:b/>
                <w:color w:val="454545"/>
              </w:rPr>
              <w:t>CID002574</w:t>
            </w:r>
          </w:p>
        </w:tc>
      </w:tr>
      <w:tr w:rsidR="00303994" w14:paraId="297E9D8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EE961D2"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A5A8935" w14:textId="77777777" w:rsidR="00303994" w:rsidRDefault="00303994" w:rsidP="00F0287B">
            <w:pPr>
              <w:spacing w:before="43" w:after="30" w:line="300" w:lineRule="auto"/>
              <w:ind w:left="55"/>
            </w:pPr>
            <w:r>
              <w:rPr>
                <w:b/>
                <w:color w:val="454545"/>
              </w:rPr>
              <w:t>VQB Mineral and Trading Group JSC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E4EA0E0" w14:textId="77777777" w:rsidR="00303994" w:rsidRDefault="00303994" w:rsidP="00F0287B">
            <w:pPr>
              <w:spacing w:before="43" w:after="30" w:line="300" w:lineRule="auto"/>
              <w:ind w:left="55"/>
            </w:pPr>
            <w:r>
              <w:rPr>
                <w:b/>
                <w:color w:val="454545"/>
              </w:rPr>
              <w:t>CID002015</w:t>
            </w:r>
          </w:p>
        </w:tc>
      </w:tr>
      <w:tr w:rsidR="00303994" w14:paraId="69A66D9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6CEF2B"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204340" w14:textId="77777777" w:rsidR="00303994" w:rsidRDefault="00303994" w:rsidP="00F0287B">
            <w:pPr>
              <w:spacing w:before="43" w:after="30" w:line="300" w:lineRule="auto"/>
              <w:ind w:left="55"/>
            </w:pPr>
            <w:r>
              <w:rPr>
                <w:b/>
                <w:color w:val="454545"/>
              </w:rPr>
              <w:t xml:space="preserve">White Solder </w:t>
            </w:r>
            <w:proofErr w:type="spellStart"/>
            <w:r>
              <w:rPr>
                <w:b/>
                <w:color w:val="454545"/>
              </w:rPr>
              <w:t>Metalurgia</w:t>
            </w:r>
            <w:proofErr w:type="spellEnd"/>
            <w:r>
              <w:rPr>
                <w:b/>
                <w:color w:val="454545"/>
              </w:rPr>
              <w:t xml:space="preserve"> e </w:t>
            </w:r>
            <w:proofErr w:type="spellStart"/>
            <w:r>
              <w:rPr>
                <w:b/>
                <w:color w:val="454545"/>
              </w:rPr>
              <w:t>Mineracao</w:t>
            </w:r>
            <w:proofErr w:type="spellEnd"/>
            <w:r>
              <w:rPr>
                <w:b/>
                <w:color w:val="454545"/>
              </w:rPr>
              <w:t xml:space="preserve"> Ltda.**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7C0C730" w14:textId="77777777" w:rsidR="00303994" w:rsidRDefault="00303994" w:rsidP="00F0287B">
            <w:pPr>
              <w:spacing w:before="43" w:after="30" w:line="300" w:lineRule="auto"/>
              <w:ind w:left="55"/>
            </w:pPr>
            <w:r>
              <w:rPr>
                <w:b/>
                <w:color w:val="454545"/>
              </w:rPr>
              <w:t>CID002036</w:t>
            </w:r>
          </w:p>
        </w:tc>
      </w:tr>
      <w:tr w:rsidR="00303994" w14:paraId="6F9CF36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0C6AB3F"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0A4599E" w14:textId="77777777" w:rsidR="00303994" w:rsidRDefault="00303994" w:rsidP="00F0287B">
            <w:pPr>
              <w:spacing w:before="43" w:after="30" w:line="300" w:lineRule="auto"/>
              <w:ind w:left="55"/>
            </w:pPr>
            <w:r>
              <w:rPr>
                <w:b/>
                <w:color w:val="454545"/>
              </w:rPr>
              <w:t xml:space="preserve">Yunnan </w:t>
            </w:r>
            <w:proofErr w:type="spellStart"/>
            <w:r>
              <w:rPr>
                <w:b/>
                <w:color w:val="454545"/>
              </w:rPr>
              <w:t>Chengfeng</w:t>
            </w:r>
            <w:proofErr w:type="spellEnd"/>
            <w:r>
              <w:rPr>
                <w:b/>
                <w:color w:val="454545"/>
              </w:rPr>
              <w:t xml:space="preserve"> Non-ferrous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C0ED20C" w14:textId="77777777" w:rsidR="00303994" w:rsidRDefault="00303994" w:rsidP="00F0287B">
            <w:pPr>
              <w:spacing w:before="43" w:after="30" w:line="300" w:lineRule="auto"/>
              <w:ind w:left="55"/>
            </w:pPr>
            <w:r>
              <w:rPr>
                <w:b/>
                <w:color w:val="454545"/>
              </w:rPr>
              <w:t>CID002158</w:t>
            </w:r>
          </w:p>
        </w:tc>
      </w:tr>
      <w:tr w:rsidR="00303994" w14:paraId="574663F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3340A3" w14:textId="77777777" w:rsidR="00303994" w:rsidRDefault="00303994" w:rsidP="00F0287B">
            <w:pPr>
              <w:spacing w:before="43" w:after="30" w:line="300" w:lineRule="auto"/>
              <w:ind w:left="55"/>
            </w:pPr>
            <w:r>
              <w:rPr>
                <w:b/>
                <w:color w:val="454545"/>
              </w:rPr>
              <w:t>Tin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43954B" w14:textId="77777777" w:rsidR="00303994" w:rsidRDefault="00303994" w:rsidP="00F0287B">
            <w:pPr>
              <w:spacing w:before="43" w:after="30" w:line="300" w:lineRule="auto"/>
              <w:ind w:left="55"/>
            </w:pPr>
            <w:r>
              <w:rPr>
                <w:b/>
                <w:color w:val="454545"/>
              </w:rPr>
              <w:t xml:space="preserve">Yunnan </w:t>
            </w:r>
            <w:proofErr w:type="spellStart"/>
            <w:r>
              <w:rPr>
                <w:b/>
                <w:color w:val="454545"/>
              </w:rPr>
              <w:t>Yunfan</w:t>
            </w:r>
            <w:proofErr w:type="spellEnd"/>
            <w:r>
              <w:rPr>
                <w:b/>
                <w:color w:val="454545"/>
              </w:rPr>
              <w:t xml:space="preserve"> Non-ferrous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BC31D44" w14:textId="77777777" w:rsidR="00303994" w:rsidRDefault="00303994" w:rsidP="00F0287B">
            <w:pPr>
              <w:spacing w:before="43" w:after="30" w:line="300" w:lineRule="auto"/>
              <w:ind w:left="55"/>
            </w:pPr>
            <w:r>
              <w:rPr>
                <w:b/>
                <w:color w:val="454545"/>
              </w:rPr>
              <w:t>CID003397</w:t>
            </w:r>
          </w:p>
        </w:tc>
      </w:tr>
      <w:tr w:rsidR="00303994" w14:paraId="143978D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275BF4A"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385B71" w14:textId="77777777" w:rsidR="00303994" w:rsidRDefault="00303994" w:rsidP="00F0287B">
            <w:pPr>
              <w:spacing w:before="43" w:after="30" w:line="300" w:lineRule="auto"/>
              <w:ind w:left="55"/>
            </w:pPr>
            <w:r>
              <w:rPr>
                <w:b/>
                <w:color w:val="454545"/>
              </w:rPr>
              <w:t xml:space="preserve">ACL </w:t>
            </w:r>
            <w:proofErr w:type="spellStart"/>
            <w:r>
              <w:rPr>
                <w:b/>
                <w:color w:val="454545"/>
              </w:rPr>
              <w:t>Metais</w:t>
            </w:r>
            <w:proofErr w:type="spellEnd"/>
            <w:r>
              <w:rPr>
                <w:b/>
                <w:color w:val="454545"/>
              </w:rPr>
              <w:t xml:space="preserve"> </w:t>
            </w:r>
            <w:proofErr w:type="spellStart"/>
            <w:r>
              <w:rPr>
                <w:b/>
                <w:color w:val="454545"/>
              </w:rPr>
              <w:t>Eireli</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F18C490" w14:textId="77777777" w:rsidR="00303994" w:rsidRDefault="00303994" w:rsidP="00F0287B">
            <w:pPr>
              <w:spacing w:before="43" w:after="30" w:line="300" w:lineRule="auto"/>
              <w:ind w:left="55"/>
            </w:pPr>
            <w:r>
              <w:rPr>
                <w:b/>
                <w:color w:val="454545"/>
              </w:rPr>
              <w:t>CID002833</w:t>
            </w:r>
          </w:p>
        </w:tc>
      </w:tr>
      <w:tr w:rsidR="00303994" w14:paraId="0FD594F7"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DEAB18"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856BEBE" w14:textId="77777777" w:rsidR="00303994" w:rsidRDefault="00303994" w:rsidP="00F0287B">
            <w:pPr>
              <w:spacing w:before="43" w:after="30" w:line="300" w:lineRule="auto"/>
              <w:ind w:left="55"/>
            </w:pPr>
            <w:proofErr w:type="spellStart"/>
            <w:r>
              <w:rPr>
                <w:b/>
                <w:color w:val="454545"/>
              </w:rPr>
              <w:t>Albasteel</w:t>
            </w:r>
            <w:proofErr w:type="spellEnd"/>
            <w:r>
              <w:rPr>
                <w:b/>
                <w:color w:val="454545"/>
              </w:rPr>
              <w:t xml:space="preserve"> </w:t>
            </w:r>
            <w:proofErr w:type="spellStart"/>
            <w:r>
              <w:rPr>
                <w:b/>
                <w:color w:val="454545"/>
              </w:rPr>
              <w:t>Industria</w:t>
            </w:r>
            <w:proofErr w:type="spellEnd"/>
            <w:r>
              <w:rPr>
                <w:b/>
                <w:color w:val="454545"/>
              </w:rPr>
              <w:t xml:space="preserve"> e Comercio de </w:t>
            </w:r>
            <w:proofErr w:type="spellStart"/>
            <w:r>
              <w:rPr>
                <w:b/>
                <w:color w:val="454545"/>
              </w:rPr>
              <w:t>Ligas</w:t>
            </w:r>
            <w:proofErr w:type="spellEnd"/>
            <w:r>
              <w:rPr>
                <w:b/>
                <w:color w:val="454545"/>
              </w:rPr>
              <w:t xml:space="preserve"> Para </w:t>
            </w:r>
            <w:proofErr w:type="spellStart"/>
            <w:r>
              <w:rPr>
                <w:b/>
                <w:color w:val="454545"/>
              </w:rPr>
              <w:t>Fundicao</w:t>
            </w:r>
            <w:proofErr w:type="spellEnd"/>
            <w:r>
              <w:rPr>
                <w:b/>
                <w:color w:val="454545"/>
              </w:rPr>
              <w:t xml:space="preserve">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2E03ECA" w14:textId="77777777" w:rsidR="00303994" w:rsidRDefault="00303994" w:rsidP="00F0287B">
            <w:pPr>
              <w:spacing w:before="43" w:after="30" w:line="300" w:lineRule="auto"/>
              <w:ind w:left="55"/>
            </w:pPr>
            <w:r>
              <w:rPr>
                <w:b/>
                <w:color w:val="454545"/>
              </w:rPr>
              <w:t>CID003427</w:t>
            </w:r>
          </w:p>
        </w:tc>
      </w:tr>
      <w:tr w:rsidR="00303994" w14:paraId="0083922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FC08972"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865995A" w14:textId="77777777" w:rsidR="00303994" w:rsidRDefault="00303994" w:rsidP="00F0287B">
            <w:pPr>
              <w:spacing w:before="43" w:after="30" w:line="300" w:lineRule="auto"/>
              <w:ind w:left="55"/>
            </w:pPr>
            <w:proofErr w:type="spellStart"/>
            <w:r>
              <w:rPr>
                <w:b/>
                <w:color w:val="454545"/>
              </w:rPr>
              <w:t>Artek</w:t>
            </w:r>
            <w:proofErr w:type="spellEnd"/>
            <w:r>
              <w:rPr>
                <w:b/>
                <w:color w:val="454545"/>
              </w:rPr>
              <w:t xml:space="preserve">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CB901B7" w14:textId="77777777" w:rsidR="00303994" w:rsidRDefault="00303994" w:rsidP="00F0287B">
            <w:pPr>
              <w:spacing w:before="43" w:after="30" w:line="300" w:lineRule="auto"/>
              <w:ind w:left="55"/>
            </w:pPr>
            <w:r>
              <w:rPr>
                <w:b/>
                <w:color w:val="454545"/>
              </w:rPr>
              <w:t>CID003553</w:t>
            </w:r>
          </w:p>
        </w:tc>
      </w:tr>
      <w:tr w:rsidR="00303994" w14:paraId="5999C75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28B1013"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F4994C" w14:textId="77777777" w:rsidR="00303994" w:rsidRDefault="00303994" w:rsidP="00F0287B">
            <w:pPr>
              <w:spacing w:before="43" w:after="30" w:line="300" w:lineRule="auto"/>
              <w:ind w:left="55"/>
            </w:pPr>
            <w:r>
              <w:rPr>
                <w:b/>
                <w:color w:val="454545"/>
              </w:rPr>
              <w:t>Asia Tungsten Products Vietnam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1A9C93C" w14:textId="77777777" w:rsidR="00303994" w:rsidRDefault="00303994" w:rsidP="00F0287B">
            <w:pPr>
              <w:spacing w:before="43" w:after="30" w:line="300" w:lineRule="auto"/>
              <w:ind w:left="55"/>
            </w:pPr>
            <w:r>
              <w:rPr>
                <w:b/>
                <w:color w:val="454545"/>
              </w:rPr>
              <w:t>CID002502</w:t>
            </w:r>
          </w:p>
        </w:tc>
      </w:tr>
      <w:tr w:rsidR="00303994" w14:paraId="022AF7D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81CF9D"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E06A6E8" w14:textId="77777777" w:rsidR="00303994" w:rsidRDefault="00303994" w:rsidP="00F0287B">
            <w:pPr>
              <w:spacing w:before="43" w:after="30" w:line="300" w:lineRule="auto"/>
              <w:ind w:left="55"/>
            </w:pPr>
            <w:proofErr w:type="spellStart"/>
            <w:r>
              <w:rPr>
                <w:b/>
                <w:color w:val="454545"/>
              </w:rPr>
              <w:t>Chenzhou</w:t>
            </w:r>
            <w:proofErr w:type="spellEnd"/>
            <w:r>
              <w:rPr>
                <w:b/>
                <w:color w:val="454545"/>
              </w:rPr>
              <w:t xml:space="preserve"> Diamond Tungsten Products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03DE946" w14:textId="77777777" w:rsidR="00303994" w:rsidRDefault="00303994" w:rsidP="00F0287B">
            <w:pPr>
              <w:spacing w:before="43" w:after="30" w:line="300" w:lineRule="auto"/>
              <w:ind w:left="55"/>
            </w:pPr>
            <w:r>
              <w:rPr>
                <w:b/>
                <w:color w:val="454545"/>
              </w:rPr>
              <w:t>CID002513</w:t>
            </w:r>
          </w:p>
        </w:tc>
      </w:tr>
      <w:tr w:rsidR="00303994" w14:paraId="506CDB8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5731C5E"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C142880" w14:textId="77777777" w:rsidR="00303994" w:rsidRDefault="00303994" w:rsidP="00F0287B">
            <w:pPr>
              <w:spacing w:before="43" w:after="30" w:line="300" w:lineRule="auto"/>
              <w:ind w:left="55"/>
            </w:pPr>
            <w:r>
              <w:rPr>
                <w:b/>
                <w:color w:val="454545"/>
              </w:rPr>
              <w:t>China Molybdenum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C62ABFC" w14:textId="77777777" w:rsidR="00303994" w:rsidRDefault="00303994" w:rsidP="00F0287B">
            <w:pPr>
              <w:spacing w:before="43" w:after="30" w:line="300" w:lineRule="auto"/>
              <w:ind w:left="55"/>
            </w:pPr>
            <w:r>
              <w:rPr>
                <w:b/>
                <w:color w:val="454545"/>
              </w:rPr>
              <w:t>CID002641</w:t>
            </w:r>
          </w:p>
        </w:tc>
      </w:tr>
      <w:tr w:rsidR="00303994" w14:paraId="5426C9F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2FBDD5"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92A01E" w14:textId="77777777" w:rsidR="00303994" w:rsidRDefault="00303994" w:rsidP="00F0287B">
            <w:pPr>
              <w:spacing w:before="43" w:after="30" w:line="300" w:lineRule="auto"/>
              <w:ind w:left="55"/>
            </w:pPr>
            <w:proofErr w:type="spellStart"/>
            <w:r>
              <w:rPr>
                <w:b/>
                <w:color w:val="454545"/>
              </w:rPr>
              <w:t>Chongyi</w:t>
            </w:r>
            <w:proofErr w:type="spellEnd"/>
            <w:r>
              <w:rPr>
                <w:b/>
                <w:color w:val="454545"/>
              </w:rPr>
              <w:t xml:space="preserve"> </w:t>
            </w:r>
            <w:proofErr w:type="spellStart"/>
            <w:r>
              <w:rPr>
                <w:b/>
                <w:color w:val="454545"/>
              </w:rPr>
              <w:t>Zhangyuan</w:t>
            </w:r>
            <w:proofErr w:type="spellEnd"/>
            <w:r>
              <w:rPr>
                <w:b/>
                <w:color w:val="454545"/>
              </w:rPr>
              <w:t xml:space="preserve">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11595F6" w14:textId="77777777" w:rsidR="00303994" w:rsidRDefault="00303994" w:rsidP="00F0287B">
            <w:pPr>
              <w:spacing w:before="43" w:after="30" w:line="300" w:lineRule="auto"/>
              <w:ind w:left="55"/>
            </w:pPr>
            <w:r>
              <w:rPr>
                <w:b/>
                <w:color w:val="454545"/>
              </w:rPr>
              <w:t>CID000258</w:t>
            </w:r>
          </w:p>
        </w:tc>
      </w:tr>
      <w:tr w:rsidR="00303994" w14:paraId="22CB2CB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F1F137F"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63BD844" w14:textId="77777777" w:rsidR="00303994" w:rsidRDefault="00303994" w:rsidP="00F0287B">
            <w:pPr>
              <w:spacing w:before="43" w:after="30" w:line="300" w:lineRule="auto"/>
              <w:ind w:left="55"/>
            </w:pPr>
            <w:proofErr w:type="spellStart"/>
            <w:r>
              <w:rPr>
                <w:b/>
                <w:color w:val="454545"/>
              </w:rPr>
              <w:t>Cronimet</w:t>
            </w:r>
            <w:proofErr w:type="spellEnd"/>
            <w:r>
              <w:rPr>
                <w:b/>
                <w:color w:val="454545"/>
              </w:rPr>
              <w:t xml:space="preserve"> </w:t>
            </w:r>
            <w:proofErr w:type="spellStart"/>
            <w:r>
              <w:rPr>
                <w:b/>
                <w:color w:val="454545"/>
              </w:rPr>
              <w:t>Brasil</w:t>
            </w:r>
            <w:proofErr w:type="spellEnd"/>
            <w:r>
              <w:rPr>
                <w:b/>
                <w:color w:val="454545"/>
              </w:rPr>
              <w:t xml:space="preserve"> </w:t>
            </w:r>
            <w:proofErr w:type="spellStart"/>
            <w:r>
              <w:rPr>
                <w:b/>
                <w:color w:val="454545"/>
              </w:rPr>
              <w:t>Ltda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0E45630" w14:textId="77777777" w:rsidR="00303994" w:rsidRDefault="00303994" w:rsidP="00F0287B">
            <w:pPr>
              <w:spacing w:before="43" w:after="30" w:line="300" w:lineRule="auto"/>
              <w:ind w:left="55"/>
            </w:pPr>
            <w:r>
              <w:rPr>
                <w:b/>
                <w:color w:val="454545"/>
              </w:rPr>
              <w:t>CID003468</w:t>
            </w:r>
          </w:p>
        </w:tc>
      </w:tr>
      <w:tr w:rsidR="00303994" w14:paraId="69C62B1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77FCBBC"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CB7E847" w14:textId="77777777" w:rsidR="00303994" w:rsidRDefault="00303994" w:rsidP="00F0287B">
            <w:pPr>
              <w:spacing w:before="43" w:after="30" w:line="300" w:lineRule="auto"/>
              <w:ind w:left="55"/>
            </w:pPr>
            <w:r>
              <w:rPr>
                <w:b/>
                <w:color w:val="454545"/>
              </w:rPr>
              <w:t xml:space="preserve">Ganzhou </w:t>
            </w:r>
            <w:proofErr w:type="spellStart"/>
            <w:r>
              <w:rPr>
                <w:b/>
                <w:color w:val="454545"/>
              </w:rPr>
              <w:t>Haichuang</w:t>
            </w:r>
            <w:proofErr w:type="spellEnd"/>
            <w:r>
              <w:rPr>
                <w:b/>
                <w:color w:val="454545"/>
              </w:rPr>
              <w:t xml:space="preserve">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656C4BC" w14:textId="77777777" w:rsidR="00303994" w:rsidRDefault="00303994" w:rsidP="00F0287B">
            <w:pPr>
              <w:spacing w:before="43" w:after="30" w:line="300" w:lineRule="auto"/>
              <w:ind w:left="55"/>
            </w:pPr>
            <w:r>
              <w:rPr>
                <w:b/>
                <w:color w:val="454545"/>
              </w:rPr>
              <w:t>CID002645</w:t>
            </w:r>
          </w:p>
        </w:tc>
      </w:tr>
      <w:tr w:rsidR="00303994" w14:paraId="2624C11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26F5C61"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537E555" w14:textId="77777777" w:rsidR="00303994" w:rsidRDefault="00303994" w:rsidP="00F0287B">
            <w:pPr>
              <w:spacing w:before="43" w:after="30" w:line="300" w:lineRule="auto"/>
              <w:ind w:left="55"/>
            </w:pPr>
            <w:r>
              <w:rPr>
                <w:b/>
                <w:color w:val="454545"/>
              </w:rPr>
              <w:t xml:space="preserve">Ganzhou </w:t>
            </w:r>
            <w:proofErr w:type="spellStart"/>
            <w:r>
              <w:rPr>
                <w:b/>
                <w:color w:val="454545"/>
              </w:rPr>
              <w:t>Huaxing</w:t>
            </w:r>
            <w:proofErr w:type="spellEnd"/>
            <w:r>
              <w:rPr>
                <w:b/>
                <w:color w:val="454545"/>
              </w:rPr>
              <w:t xml:space="preserve"> Tungsten Products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C65BD87" w14:textId="77777777" w:rsidR="00303994" w:rsidRDefault="00303994" w:rsidP="00F0287B">
            <w:pPr>
              <w:spacing w:before="43" w:after="30" w:line="300" w:lineRule="auto"/>
              <w:ind w:left="55"/>
            </w:pPr>
            <w:r>
              <w:rPr>
                <w:b/>
                <w:color w:val="454545"/>
              </w:rPr>
              <w:t>CID000875</w:t>
            </w:r>
          </w:p>
        </w:tc>
      </w:tr>
      <w:tr w:rsidR="00303994" w14:paraId="06FD6F1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B10F336"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44F469F" w14:textId="77777777" w:rsidR="00303994" w:rsidRDefault="00303994" w:rsidP="00F0287B">
            <w:pPr>
              <w:spacing w:before="43" w:after="30" w:line="300" w:lineRule="auto"/>
              <w:ind w:left="55"/>
            </w:pPr>
            <w:r>
              <w:rPr>
                <w:b/>
                <w:color w:val="454545"/>
              </w:rPr>
              <w:t xml:space="preserve">Ganzhou </w:t>
            </w:r>
            <w:proofErr w:type="spellStart"/>
            <w:r>
              <w:rPr>
                <w:b/>
                <w:color w:val="454545"/>
              </w:rPr>
              <w:t>Jiangwu</w:t>
            </w:r>
            <w:proofErr w:type="spellEnd"/>
            <w:r>
              <w:rPr>
                <w:b/>
                <w:color w:val="454545"/>
              </w:rPr>
              <w:t xml:space="preserve"> Ferrotungsten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054F9BB" w14:textId="77777777" w:rsidR="00303994" w:rsidRDefault="00303994" w:rsidP="00F0287B">
            <w:pPr>
              <w:spacing w:before="43" w:after="30" w:line="300" w:lineRule="auto"/>
              <w:ind w:left="55"/>
            </w:pPr>
            <w:r>
              <w:rPr>
                <w:b/>
                <w:color w:val="454545"/>
              </w:rPr>
              <w:t>CID002315</w:t>
            </w:r>
          </w:p>
        </w:tc>
      </w:tr>
      <w:tr w:rsidR="00303994" w14:paraId="6B22194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9AF45C"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9D39B3" w14:textId="77777777" w:rsidR="00303994" w:rsidRDefault="00303994" w:rsidP="00F0287B">
            <w:pPr>
              <w:spacing w:before="43" w:after="30" w:line="300" w:lineRule="auto"/>
              <w:ind w:left="55"/>
            </w:pPr>
            <w:r>
              <w:rPr>
                <w:b/>
                <w:color w:val="454545"/>
              </w:rPr>
              <w:t xml:space="preserve">Ganzhou </w:t>
            </w:r>
            <w:proofErr w:type="spellStart"/>
            <w:r>
              <w:rPr>
                <w:b/>
                <w:color w:val="454545"/>
              </w:rPr>
              <w:t>Seadragon</w:t>
            </w:r>
            <w:proofErr w:type="spellEnd"/>
            <w:r>
              <w:rPr>
                <w:b/>
                <w:color w:val="454545"/>
              </w:rPr>
              <w:t xml:space="preserve"> W &amp; Mo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CBB5E6B" w14:textId="77777777" w:rsidR="00303994" w:rsidRDefault="00303994" w:rsidP="00F0287B">
            <w:pPr>
              <w:spacing w:before="43" w:after="30" w:line="300" w:lineRule="auto"/>
              <w:ind w:left="55"/>
            </w:pPr>
            <w:r>
              <w:rPr>
                <w:b/>
                <w:color w:val="454545"/>
              </w:rPr>
              <w:t>CID002494</w:t>
            </w:r>
          </w:p>
        </w:tc>
      </w:tr>
      <w:tr w:rsidR="00303994" w14:paraId="717EFBB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6304336"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48F2BAF" w14:textId="77777777" w:rsidR="00303994" w:rsidRDefault="00303994" w:rsidP="00F0287B">
            <w:pPr>
              <w:spacing w:before="43" w:after="30" w:line="300" w:lineRule="auto"/>
              <w:ind w:left="55"/>
            </w:pPr>
            <w:r>
              <w:rPr>
                <w:b/>
                <w:color w:val="454545"/>
              </w:rPr>
              <w:t>Global Tungsten &amp; Powders Corp.**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38BB3D7" w14:textId="77777777" w:rsidR="00303994" w:rsidRDefault="00303994" w:rsidP="00F0287B">
            <w:pPr>
              <w:spacing w:before="43" w:after="30" w:line="300" w:lineRule="auto"/>
              <w:ind w:left="55"/>
            </w:pPr>
            <w:r>
              <w:rPr>
                <w:b/>
                <w:color w:val="454545"/>
              </w:rPr>
              <w:t>CID000568</w:t>
            </w:r>
          </w:p>
        </w:tc>
      </w:tr>
      <w:tr w:rsidR="00303994" w14:paraId="1A58F05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F8BC006"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F527B86" w14:textId="77777777" w:rsidR="00303994" w:rsidRDefault="00303994" w:rsidP="00F0287B">
            <w:pPr>
              <w:spacing w:before="43" w:after="30" w:line="300" w:lineRule="auto"/>
              <w:ind w:left="55"/>
            </w:pPr>
            <w:r>
              <w:rPr>
                <w:b/>
                <w:color w:val="454545"/>
              </w:rPr>
              <w:t xml:space="preserve">Guangdong </w:t>
            </w:r>
            <w:proofErr w:type="spellStart"/>
            <w:r>
              <w:rPr>
                <w:b/>
                <w:color w:val="454545"/>
              </w:rPr>
              <w:t>Xianglu</w:t>
            </w:r>
            <w:proofErr w:type="spellEnd"/>
            <w:r>
              <w:rPr>
                <w:b/>
                <w:color w:val="454545"/>
              </w:rPr>
              <w:t xml:space="preserve">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A599940" w14:textId="77777777" w:rsidR="00303994" w:rsidRDefault="00303994" w:rsidP="00F0287B">
            <w:pPr>
              <w:spacing w:before="43" w:after="30" w:line="300" w:lineRule="auto"/>
              <w:ind w:left="55"/>
            </w:pPr>
            <w:r>
              <w:rPr>
                <w:b/>
                <w:color w:val="454545"/>
              </w:rPr>
              <w:t>CID000218</w:t>
            </w:r>
          </w:p>
        </w:tc>
      </w:tr>
      <w:tr w:rsidR="00303994" w14:paraId="68A18F7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09D788"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9E5BA4" w14:textId="77777777" w:rsidR="00303994" w:rsidRDefault="00303994" w:rsidP="00F0287B">
            <w:pPr>
              <w:spacing w:before="43" w:after="30" w:line="300" w:lineRule="auto"/>
              <w:ind w:left="55"/>
            </w:pPr>
            <w:r>
              <w:rPr>
                <w:b/>
                <w:color w:val="454545"/>
              </w:rPr>
              <w:t xml:space="preserve">H.C. </w:t>
            </w:r>
            <w:proofErr w:type="spellStart"/>
            <w:r>
              <w:rPr>
                <w:b/>
                <w:color w:val="454545"/>
              </w:rPr>
              <w:t>Starck</w:t>
            </w:r>
            <w:proofErr w:type="spellEnd"/>
            <w:r>
              <w:rPr>
                <w:b/>
                <w:color w:val="454545"/>
              </w:rPr>
              <w:t xml:space="preserve"> Tungsten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32E773F" w14:textId="77777777" w:rsidR="00303994" w:rsidRDefault="00303994" w:rsidP="00F0287B">
            <w:pPr>
              <w:spacing w:before="43" w:after="30" w:line="300" w:lineRule="auto"/>
              <w:ind w:left="55"/>
            </w:pPr>
            <w:r>
              <w:rPr>
                <w:b/>
                <w:color w:val="454545"/>
              </w:rPr>
              <w:t>CID002541</w:t>
            </w:r>
          </w:p>
        </w:tc>
      </w:tr>
      <w:tr w:rsidR="00303994" w14:paraId="6AEDAF8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909B16F" w14:textId="77777777" w:rsidR="00303994" w:rsidRDefault="00303994" w:rsidP="00F0287B">
            <w:pPr>
              <w:spacing w:before="43" w:after="30" w:line="300" w:lineRule="auto"/>
              <w:ind w:left="55"/>
            </w:pPr>
            <w:r>
              <w:rPr>
                <w:b/>
                <w:color w:val="454545"/>
              </w:rPr>
              <w:lastRenderedPageBreak/>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3E8A3B3" w14:textId="77777777" w:rsidR="00303994" w:rsidRDefault="00303994" w:rsidP="00F0287B">
            <w:pPr>
              <w:spacing w:before="43" w:after="30" w:line="300" w:lineRule="auto"/>
              <w:ind w:left="55"/>
            </w:pPr>
            <w:r>
              <w:rPr>
                <w:b/>
                <w:color w:val="454545"/>
              </w:rPr>
              <w:t xml:space="preserve">Hunan </w:t>
            </w:r>
            <w:proofErr w:type="spellStart"/>
            <w:r>
              <w:rPr>
                <w:b/>
                <w:color w:val="454545"/>
              </w:rPr>
              <w:t>Chenzhou</w:t>
            </w:r>
            <w:proofErr w:type="spellEnd"/>
            <w:r>
              <w:rPr>
                <w:b/>
                <w:color w:val="454545"/>
              </w:rPr>
              <w:t xml:space="preserve"> Mining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EDCE298" w14:textId="77777777" w:rsidR="00303994" w:rsidRDefault="00303994" w:rsidP="00F0287B">
            <w:pPr>
              <w:spacing w:before="43" w:after="30" w:line="300" w:lineRule="auto"/>
              <w:ind w:left="55"/>
            </w:pPr>
            <w:r>
              <w:rPr>
                <w:b/>
                <w:color w:val="454545"/>
              </w:rPr>
              <w:t>CID000766</w:t>
            </w:r>
          </w:p>
        </w:tc>
      </w:tr>
      <w:tr w:rsidR="00303994" w14:paraId="674B801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73540A"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26BCB7D" w14:textId="77777777" w:rsidR="00303994" w:rsidRDefault="00303994" w:rsidP="00F0287B">
            <w:pPr>
              <w:spacing w:before="43" w:after="30" w:line="300" w:lineRule="auto"/>
              <w:ind w:left="55"/>
            </w:pPr>
            <w:r>
              <w:rPr>
                <w:b/>
                <w:color w:val="454545"/>
              </w:rPr>
              <w:t xml:space="preserve">Hunan </w:t>
            </w:r>
            <w:proofErr w:type="spellStart"/>
            <w:r>
              <w:rPr>
                <w:b/>
                <w:color w:val="454545"/>
              </w:rPr>
              <w:t>Chunchang</w:t>
            </w:r>
            <w:proofErr w:type="spellEnd"/>
            <w:r>
              <w:rPr>
                <w:b/>
                <w:color w:val="454545"/>
              </w:rPr>
              <w:t xml:space="preserve"> Nonferrous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C6A5BAC" w14:textId="77777777" w:rsidR="00303994" w:rsidRDefault="00303994" w:rsidP="00F0287B">
            <w:pPr>
              <w:spacing w:before="43" w:after="30" w:line="300" w:lineRule="auto"/>
              <w:ind w:left="55"/>
            </w:pPr>
            <w:r>
              <w:rPr>
                <w:b/>
                <w:color w:val="454545"/>
              </w:rPr>
              <w:t>CID000769</w:t>
            </w:r>
          </w:p>
        </w:tc>
      </w:tr>
      <w:tr w:rsidR="00303994" w14:paraId="74B6D3F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7EE64C"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55E4EC" w14:textId="77777777" w:rsidR="00303994" w:rsidRDefault="00303994" w:rsidP="00F0287B">
            <w:pPr>
              <w:spacing w:before="43" w:after="30" w:line="300" w:lineRule="auto"/>
              <w:ind w:left="55"/>
            </w:pPr>
            <w:proofErr w:type="spellStart"/>
            <w:r>
              <w:rPr>
                <w:b/>
                <w:color w:val="454545"/>
              </w:rPr>
              <w:t>Hydrometallurg</w:t>
            </w:r>
            <w:proofErr w:type="spellEnd"/>
            <w:r>
              <w:rPr>
                <w:b/>
                <w:color w:val="454545"/>
              </w:rPr>
              <w:t>, JSC**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33C207B" w14:textId="77777777" w:rsidR="00303994" w:rsidRDefault="00303994" w:rsidP="00F0287B">
            <w:pPr>
              <w:spacing w:before="43" w:after="30" w:line="300" w:lineRule="auto"/>
              <w:ind w:left="55"/>
            </w:pPr>
            <w:r>
              <w:rPr>
                <w:b/>
                <w:color w:val="454545"/>
              </w:rPr>
              <w:t>CID002649</w:t>
            </w:r>
          </w:p>
        </w:tc>
      </w:tr>
      <w:tr w:rsidR="00303994" w14:paraId="4CCF8AF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4EF91CA"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B8B60C" w14:textId="77777777" w:rsidR="00303994" w:rsidRDefault="00303994" w:rsidP="00F0287B">
            <w:pPr>
              <w:spacing w:before="43" w:after="30" w:line="300" w:lineRule="auto"/>
              <w:ind w:left="55"/>
            </w:pPr>
            <w:r>
              <w:rPr>
                <w:b/>
                <w:color w:val="454545"/>
              </w:rPr>
              <w:t>Japan New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A2C9EA8" w14:textId="77777777" w:rsidR="00303994" w:rsidRDefault="00303994" w:rsidP="00F0287B">
            <w:pPr>
              <w:spacing w:before="43" w:after="30" w:line="300" w:lineRule="auto"/>
              <w:ind w:left="55"/>
            </w:pPr>
            <w:r>
              <w:rPr>
                <w:b/>
                <w:color w:val="454545"/>
              </w:rPr>
              <w:t>CID000825</w:t>
            </w:r>
          </w:p>
        </w:tc>
      </w:tr>
      <w:tr w:rsidR="00303994" w14:paraId="266C1C1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1404B2"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804F304" w14:textId="77777777" w:rsidR="00303994" w:rsidRDefault="00303994" w:rsidP="00F0287B">
            <w:pPr>
              <w:spacing w:before="43" w:after="30" w:line="300" w:lineRule="auto"/>
              <w:ind w:left="55"/>
            </w:pPr>
            <w:proofErr w:type="spellStart"/>
            <w:r>
              <w:rPr>
                <w:b/>
                <w:color w:val="454545"/>
              </w:rPr>
              <w:t>Jiangwu</w:t>
            </w:r>
            <w:proofErr w:type="spellEnd"/>
            <w:r>
              <w:rPr>
                <w:b/>
                <w:color w:val="454545"/>
              </w:rPr>
              <w:t xml:space="preserve"> H.C. </w:t>
            </w:r>
            <w:proofErr w:type="spellStart"/>
            <w:r>
              <w:rPr>
                <w:b/>
                <w:color w:val="454545"/>
              </w:rPr>
              <w:t>Starck</w:t>
            </w:r>
            <w:proofErr w:type="spellEnd"/>
            <w:r>
              <w:rPr>
                <w:b/>
                <w:color w:val="454545"/>
              </w:rPr>
              <w:t xml:space="preserve"> Tungsten Products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0EB8578" w14:textId="77777777" w:rsidR="00303994" w:rsidRDefault="00303994" w:rsidP="00F0287B">
            <w:pPr>
              <w:spacing w:before="43" w:after="30" w:line="300" w:lineRule="auto"/>
              <w:ind w:left="55"/>
            </w:pPr>
            <w:r>
              <w:rPr>
                <w:b/>
                <w:color w:val="454545"/>
              </w:rPr>
              <w:t>CID002551</w:t>
            </w:r>
          </w:p>
        </w:tc>
      </w:tr>
      <w:tr w:rsidR="00303994" w14:paraId="5CC23F6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C7E93D8"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EFA981D" w14:textId="77777777" w:rsidR="00303994" w:rsidRDefault="00303994" w:rsidP="00F0287B">
            <w:pPr>
              <w:spacing w:before="43" w:after="30" w:line="300" w:lineRule="auto"/>
              <w:ind w:left="55"/>
            </w:pPr>
            <w:r>
              <w:rPr>
                <w:b/>
                <w:color w:val="454545"/>
              </w:rPr>
              <w:t>Jiangxi Gan Bei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EAA77CA" w14:textId="77777777" w:rsidR="00303994" w:rsidRDefault="00303994" w:rsidP="00F0287B">
            <w:pPr>
              <w:spacing w:before="43" w:after="30" w:line="300" w:lineRule="auto"/>
              <w:ind w:left="55"/>
            </w:pPr>
            <w:r>
              <w:rPr>
                <w:b/>
                <w:color w:val="454545"/>
              </w:rPr>
              <w:t>CID002321</w:t>
            </w:r>
          </w:p>
        </w:tc>
      </w:tr>
      <w:tr w:rsidR="00303994" w14:paraId="03FFB82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306FCAE"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1863C5" w14:textId="77777777" w:rsidR="00303994" w:rsidRDefault="00303994" w:rsidP="00F0287B">
            <w:pPr>
              <w:spacing w:before="43" w:after="30" w:line="300" w:lineRule="auto"/>
              <w:ind w:left="55"/>
            </w:pPr>
            <w:r>
              <w:rPr>
                <w:b/>
                <w:color w:val="454545"/>
              </w:rPr>
              <w:t xml:space="preserve">Jiangxi </w:t>
            </w:r>
            <w:proofErr w:type="spellStart"/>
            <w:r>
              <w:rPr>
                <w:b/>
                <w:color w:val="454545"/>
              </w:rPr>
              <w:t>Minmetals</w:t>
            </w:r>
            <w:proofErr w:type="spellEnd"/>
            <w:r>
              <w:rPr>
                <w:b/>
                <w:color w:val="454545"/>
              </w:rPr>
              <w:t xml:space="preserve"> </w:t>
            </w:r>
            <w:proofErr w:type="spellStart"/>
            <w:r>
              <w:rPr>
                <w:b/>
                <w:color w:val="454545"/>
              </w:rPr>
              <w:t>Gao'an</w:t>
            </w:r>
            <w:proofErr w:type="spellEnd"/>
            <w:r>
              <w:rPr>
                <w:b/>
                <w:color w:val="454545"/>
              </w:rPr>
              <w:t xml:space="preserve"> Non-ferrous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8B85E1F" w14:textId="77777777" w:rsidR="00303994" w:rsidRDefault="00303994" w:rsidP="00F0287B">
            <w:pPr>
              <w:spacing w:before="43" w:after="30" w:line="300" w:lineRule="auto"/>
              <w:ind w:left="55"/>
            </w:pPr>
            <w:r>
              <w:rPr>
                <w:b/>
                <w:color w:val="454545"/>
              </w:rPr>
              <w:t>CID002313</w:t>
            </w:r>
          </w:p>
        </w:tc>
      </w:tr>
      <w:tr w:rsidR="00303994" w14:paraId="734D3EA5"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447C746"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0B47084" w14:textId="77777777" w:rsidR="00303994" w:rsidRDefault="00303994" w:rsidP="00F0287B">
            <w:pPr>
              <w:spacing w:before="43" w:after="30" w:line="300" w:lineRule="auto"/>
              <w:ind w:left="55"/>
            </w:pPr>
            <w:r>
              <w:rPr>
                <w:b/>
                <w:color w:val="454545"/>
              </w:rPr>
              <w:t xml:space="preserve">Jiangxi </w:t>
            </w:r>
            <w:proofErr w:type="spellStart"/>
            <w:r>
              <w:rPr>
                <w:b/>
                <w:color w:val="454545"/>
              </w:rPr>
              <w:t>Tonggu</w:t>
            </w:r>
            <w:proofErr w:type="spellEnd"/>
            <w:r>
              <w:rPr>
                <w:b/>
                <w:color w:val="454545"/>
              </w:rPr>
              <w:t xml:space="preserve"> Non-ferrous Metallurgical &amp; Chemical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54D589D" w14:textId="77777777" w:rsidR="00303994" w:rsidRDefault="00303994" w:rsidP="00F0287B">
            <w:pPr>
              <w:spacing w:before="43" w:after="30" w:line="300" w:lineRule="auto"/>
              <w:ind w:left="55"/>
            </w:pPr>
            <w:r>
              <w:rPr>
                <w:b/>
                <w:color w:val="454545"/>
              </w:rPr>
              <w:t>CID002318</w:t>
            </w:r>
          </w:p>
        </w:tc>
      </w:tr>
      <w:tr w:rsidR="00303994" w14:paraId="5D586A4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69484F"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07EF04" w14:textId="77777777" w:rsidR="00303994" w:rsidRDefault="00303994" w:rsidP="00F0287B">
            <w:pPr>
              <w:spacing w:before="43" w:after="30" w:line="300" w:lineRule="auto"/>
              <w:ind w:left="55"/>
            </w:pPr>
            <w:r>
              <w:rPr>
                <w:b/>
                <w:color w:val="454545"/>
              </w:rPr>
              <w:t xml:space="preserve">Jiangxi </w:t>
            </w:r>
            <w:proofErr w:type="spellStart"/>
            <w:r>
              <w:rPr>
                <w:b/>
                <w:color w:val="454545"/>
              </w:rPr>
              <w:t>Xinsheng</w:t>
            </w:r>
            <w:proofErr w:type="spellEnd"/>
            <w:r>
              <w:rPr>
                <w:b/>
                <w:color w:val="454545"/>
              </w:rPr>
              <w:t xml:space="preserve"> Tungsten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2695115" w14:textId="77777777" w:rsidR="00303994" w:rsidRDefault="00303994" w:rsidP="00F0287B">
            <w:pPr>
              <w:spacing w:before="43" w:after="30" w:line="300" w:lineRule="auto"/>
              <w:ind w:left="55"/>
            </w:pPr>
            <w:r>
              <w:rPr>
                <w:b/>
                <w:color w:val="454545"/>
              </w:rPr>
              <w:t>CID002317</w:t>
            </w:r>
          </w:p>
        </w:tc>
      </w:tr>
      <w:tr w:rsidR="00303994" w14:paraId="33F0BEF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3F2AD05"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FE45044" w14:textId="77777777" w:rsidR="00303994" w:rsidRDefault="00303994" w:rsidP="00F0287B">
            <w:pPr>
              <w:spacing w:before="43" w:after="30" w:line="300" w:lineRule="auto"/>
              <w:ind w:left="55"/>
            </w:pPr>
            <w:r>
              <w:rPr>
                <w:b/>
                <w:color w:val="454545"/>
              </w:rPr>
              <w:t xml:space="preserve">Jiangxi </w:t>
            </w:r>
            <w:proofErr w:type="spellStart"/>
            <w:r>
              <w:rPr>
                <w:b/>
                <w:color w:val="454545"/>
              </w:rPr>
              <w:t>Yaosheng</w:t>
            </w:r>
            <w:proofErr w:type="spellEnd"/>
            <w:r>
              <w:rPr>
                <w:b/>
                <w:color w:val="454545"/>
              </w:rPr>
              <w:t xml:space="preserve">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4E80410" w14:textId="77777777" w:rsidR="00303994" w:rsidRDefault="00303994" w:rsidP="00F0287B">
            <w:pPr>
              <w:spacing w:before="43" w:after="30" w:line="300" w:lineRule="auto"/>
              <w:ind w:left="55"/>
            </w:pPr>
            <w:r>
              <w:rPr>
                <w:b/>
                <w:color w:val="454545"/>
              </w:rPr>
              <w:t>CID002316</w:t>
            </w:r>
          </w:p>
        </w:tc>
      </w:tr>
      <w:tr w:rsidR="00303994" w14:paraId="395E33C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5DAEBD0"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955B7D" w14:textId="77777777" w:rsidR="00303994" w:rsidRDefault="00303994" w:rsidP="00F0287B">
            <w:pPr>
              <w:spacing w:before="43" w:after="30" w:line="300" w:lineRule="auto"/>
              <w:ind w:left="55"/>
            </w:pPr>
            <w:r>
              <w:rPr>
                <w:b/>
                <w:color w:val="454545"/>
              </w:rPr>
              <w:t>Kennametal Fallon**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EE3847B" w14:textId="77777777" w:rsidR="00303994" w:rsidRDefault="00303994" w:rsidP="00F0287B">
            <w:pPr>
              <w:spacing w:before="43" w:after="30" w:line="300" w:lineRule="auto"/>
              <w:ind w:left="55"/>
            </w:pPr>
            <w:r>
              <w:rPr>
                <w:b/>
                <w:color w:val="454545"/>
              </w:rPr>
              <w:t>CID000966</w:t>
            </w:r>
          </w:p>
        </w:tc>
      </w:tr>
      <w:tr w:rsidR="00303994" w14:paraId="3CDB33E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F4617B"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34C9AE0" w14:textId="77777777" w:rsidR="00303994" w:rsidRDefault="00303994" w:rsidP="00F0287B">
            <w:pPr>
              <w:spacing w:before="43" w:after="30" w:line="300" w:lineRule="auto"/>
              <w:ind w:left="55"/>
            </w:pPr>
            <w:r>
              <w:rPr>
                <w:b/>
                <w:color w:val="454545"/>
              </w:rPr>
              <w:t>Kennametal Huntsville**</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CDE727F" w14:textId="77777777" w:rsidR="00303994" w:rsidRDefault="00303994" w:rsidP="00F0287B">
            <w:pPr>
              <w:spacing w:before="43" w:after="30" w:line="300" w:lineRule="auto"/>
              <w:ind w:left="55"/>
            </w:pPr>
            <w:r>
              <w:rPr>
                <w:b/>
                <w:color w:val="454545"/>
              </w:rPr>
              <w:t>CID000105</w:t>
            </w:r>
          </w:p>
        </w:tc>
      </w:tr>
      <w:tr w:rsidR="00303994" w14:paraId="2780DE5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063D102"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055FF42" w14:textId="77777777" w:rsidR="00303994" w:rsidRDefault="00303994" w:rsidP="00F0287B">
            <w:pPr>
              <w:spacing w:before="43" w:after="30" w:line="300" w:lineRule="auto"/>
              <w:ind w:left="55"/>
            </w:pPr>
            <w:proofErr w:type="spellStart"/>
            <w:r>
              <w:rPr>
                <w:b/>
                <w:color w:val="454545"/>
              </w:rPr>
              <w:t>Malipo</w:t>
            </w:r>
            <w:proofErr w:type="spellEnd"/>
            <w:r>
              <w:rPr>
                <w:b/>
                <w:color w:val="454545"/>
              </w:rPr>
              <w:t xml:space="preserve"> </w:t>
            </w:r>
            <w:proofErr w:type="spellStart"/>
            <w:r>
              <w:rPr>
                <w:b/>
                <w:color w:val="454545"/>
              </w:rPr>
              <w:t>Haiyu</w:t>
            </w:r>
            <w:proofErr w:type="spellEnd"/>
            <w:r>
              <w:rPr>
                <w:b/>
                <w:color w:val="454545"/>
              </w:rPr>
              <w:t xml:space="preserve">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E2E7666" w14:textId="77777777" w:rsidR="00303994" w:rsidRDefault="00303994" w:rsidP="00F0287B">
            <w:pPr>
              <w:spacing w:before="43" w:after="30" w:line="300" w:lineRule="auto"/>
              <w:ind w:left="55"/>
            </w:pPr>
            <w:r>
              <w:rPr>
                <w:b/>
                <w:color w:val="454545"/>
              </w:rPr>
              <w:t>CID002319</w:t>
            </w:r>
          </w:p>
        </w:tc>
      </w:tr>
      <w:tr w:rsidR="00303994" w14:paraId="5F7E578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DEFE7C"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6D5A215" w14:textId="77777777" w:rsidR="00303994" w:rsidRDefault="00303994" w:rsidP="00F0287B">
            <w:pPr>
              <w:spacing w:before="43" w:after="30" w:line="300" w:lineRule="auto"/>
              <w:ind w:left="55"/>
            </w:pPr>
            <w:r>
              <w:rPr>
                <w:b/>
                <w:color w:val="454545"/>
              </w:rPr>
              <w:t>Masan High-Tech Materials**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CB7BA98" w14:textId="77777777" w:rsidR="00303994" w:rsidRDefault="00303994" w:rsidP="00F0287B">
            <w:pPr>
              <w:spacing w:before="43" w:after="30" w:line="300" w:lineRule="auto"/>
              <w:ind w:left="55"/>
            </w:pPr>
            <w:r>
              <w:rPr>
                <w:b/>
                <w:color w:val="454545"/>
              </w:rPr>
              <w:t>CID002543</w:t>
            </w:r>
          </w:p>
        </w:tc>
      </w:tr>
      <w:tr w:rsidR="00303994" w14:paraId="50D95C0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CF1794B"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6C6E726" w14:textId="77777777" w:rsidR="00303994" w:rsidRDefault="00303994" w:rsidP="00F0287B">
            <w:pPr>
              <w:spacing w:before="43" w:after="30" w:line="300" w:lineRule="auto"/>
              <w:ind w:left="55"/>
            </w:pPr>
            <w:proofErr w:type="spellStart"/>
            <w:r>
              <w:rPr>
                <w:b/>
                <w:color w:val="454545"/>
              </w:rPr>
              <w:t>Moliren</w:t>
            </w:r>
            <w:proofErr w:type="spellEnd"/>
            <w:r>
              <w:rPr>
                <w:b/>
                <w:color w:val="454545"/>
              </w:rPr>
              <w:t xml:space="preserve">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79E596C" w14:textId="77777777" w:rsidR="00303994" w:rsidRDefault="00303994" w:rsidP="00F0287B">
            <w:pPr>
              <w:spacing w:before="43" w:after="30" w:line="300" w:lineRule="auto"/>
              <w:ind w:left="55"/>
            </w:pPr>
            <w:r>
              <w:rPr>
                <w:b/>
                <w:color w:val="454545"/>
              </w:rPr>
              <w:t>CID002845</w:t>
            </w:r>
          </w:p>
        </w:tc>
      </w:tr>
      <w:tr w:rsidR="00303994" w14:paraId="778D0A3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DAD3411"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B345BF" w14:textId="77777777" w:rsidR="00303994" w:rsidRDefault="00303994" w:rsidP="00F0287B">
            <w:pPr>
              <w:spacing w:before="43" w:after="30" w:line="300" w:lineRule="auto"/>
              <w:ind w:left="55"/>
            </w:pPr>
            <w:r>
              <w:rPr>
                <w:b/>
                <w:color w:val="454545"/>
              </w:rPr>
              <w:t xml:space="preserve">NPP </w:t>
            </w:r>
            <w:proofErr w:type="spellStart"/>
            <w:r>
              <w:rPr>
                <w:b/>
                <w:color w:val="454545"/>
              </w:rPr>
              <w:t>Tyazhmetprom</w:t>
            </w:r>
            <w:proofErr w:type="spellEnd"/>
            <w:r>
              <w:rPr>
                <w:b/>
                <w:color w:val="454545"/>
              </w:rPr>
              <w:t xml:space="preserve">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087747F" w14:textId="77777777" w:rsidR="00303994" w:rsidRDefault="00303994" w:rsidP="00F0287B">
            <w:pPr>
              <w:spacing w:before="43" w:after="30" w:line="300" w:lineRule="auto"/>
              <w:ind w:left="55"/>
            </w:pPr>
            <w:r>
              <w:rPr>
                <w:b/>
                <w:color w:val="454545"/>
              </w:rPr>
              <w:t>CID003416</w:t>
            </w:r>
          </w:p>
        </w:tc>
      </w:tr>
      <w:tr w:rsidR="00303994" w14:paraId="0C37039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8CEF21E"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62B6402" w14:textId="77777777" w:rsidR="00303994" w:rsidRDefault="00303994" w:rsidP="00F0287B">
            <w:pPr>
              <w:spacing w:before="43" w:after="30" w:line="300" w:lineRule="auto"/>
              <w:ind w:left="55"/>
            </w:pPr>
            <w:r>
              <w:rPr>
                <w:b/>
                <w:color w:val="454545"/>
              </w:rPr>
              <w:t>Niagara Refining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9A864FD" w14:textId="77777777" w:rsidR="00303994" w:rsidRDefault="00303994" w:rsidP="00F0287B">
            <w:pPr>
              <w:spacing w:before="43" w:after="30" w:line="300" w:lineRule="auto"/>
              <w:ind w:left="55"/>
            </w:pPr>
            <w:r>
              <w:rPr>
                <w:b/>
                <w:color w:val="454545"/>
              </w:rPr>
              <w:t>CID002589</w:t>
            </w:r>
          </w:p>
        </w:tc>
      </w:tr>
      <w:tr w:rsidR="00303994" w14:paraId="24DAA43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591B536"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1E1AE09" w14:textId="77777777" w:rsidR="00303994" w:rsidRDefault="00303994" w:rsidP="00F0287B">
            <w:pPr>
              <w:spacing w:before="43" w:after="30" w:line="300" w:lineRule="auto"/>
              <w:ind w:left="55"/>
            </w:pPr>
            <w:r>
              <w:rPr>
                <w:b/>
                <w:color w:val="454545"/>
              </w:rPr>
              <w:t xml:space="preserve">Philippine </w:t>
            </w:r>
            <w:proofErr w:type="spellStart"/>
            <w:r>
              <w:rPr>
                <w:b/>
                <w:color w:val="454545"/>
              </w:rPr>
              <w:t>Chuangxin</w:t>
            </w:r>
            <w:proofErr w:type="spellEnd"/>
            <w:r>
              <w:rPr>
                <w:b/>
                <w:color w:val="454545"/>
              </w:rPr>
              <w:t xml:space="preserve"> Industrial Co.,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9DE6BCF" w14:textId="77777777" w:rsidR="00303994" w:rsidRDefault="00303994" w:rsidP="00F0287B">
            <w:pPr>
              <w:spacing w:before="43" w:after="30" w:line="300" w:lineRule="auto"/>
              <w:ind w:left="55"/>
            </w:pPr>
            <w:r>
              <w:rPr>
                <w:b/>
                <w:color w:val="454545"/>
              </w:rPr>
              <w:t>CID002827</w:t>
            </w:r>
          </w:p>
        </w:tc>
      </w:tr>
      <w:tr w:rsidR="00303994" w14:paraId="00DD3C9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2D9A3EB"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727073" w14:textId="77777777" w:rsidR="00303994" w:rsidRDefault="00303994" w:rsidP="00F0287B">
            <w:pPr>
              <w:spacing w:before="43" w:after="30" w:line="300" w:lineRule="auto"/>
              <w:ind w:left="55"/>
            </w:pPr>
            <w:r>
              <w:rPr>
                <w:b/>
                <w:color w:val="454545"/>
              </w:rPr>
              <w:t>TANIOBIS Smelting GmbH &amp; Co. KG**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50ABD8" w14:textId="77777777" w:rsidR="00303994" w:rsidRDefault="00303994" w:rsidP="00F0287B">
            <w:pPr>
              <w:spacing w:before="43" w:after="30" w:line="300" w:lineRule="auto"/>
              <w:ind w:left="55"/>
            </w:pPr>
            <w:r>
              <w:rPr>
                <w:b/>
                <w:color w:val="454545"/>
              </w:rPr>
              <w:t>CID002542</w:t>
            </w:r>
          </w:p>
        </w:tc>
      </w:tr>
      <w:tr w:rsidR="00303994" w14:paraId="1FF4D4A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269118A"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3D2C1EF" w14:textId="77777777" w:rsidR="00303994" w:rsidRDefault="00303994" w:rsidP="00F0287B">
            <w:pPr>
              <w:spacing w:before="43" w:after="30" w:line="300" w:lineRule="auto"/>
              <w:ind w:left="55"/>
            </w:pPr>
            <w:proofErr w:type="spellStart"/>
            <w:r>
              <w:rPr>
                <w:b/>
                <w:color w:val="454545"/>
              </w:rPr>
              <w:t>Unecha</w:t>
            </w:r>
            <w:proofErr w:type="spellEnd"/>
            <w:r>
              <w:rPr>
                <w:b/>
                <w:color w:val="454545"/>
              </w:rPr>
              <w:t xml:space="preserve"> Refractory metals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66DB38" w14:textId="77777777" w:rsidR="00303994" w:rsidRDefault="00303994" w:rsidP="00F0287B">
            <w:pPr>
              <w:spacing w:before="43" w:after="30" w:line="300" w:lineRule="auto"/>
              <w:ind w:left="55"/>
            </w:pPr>
            <w:r>
              <w:rPr>
                <w:b/>
                <w:color w:val="454545"/>
              </w:rPr>
              <w:t>CID002724</w:t>
            </w:r>
          </w:p>
        </w:tc>
      </w:tr>
      <w:tr w:rsidR="00303994" w14:paraId="71F1DBF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E8FC8D1"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D17B6D8" w14:textId="77777777" w:rsidR="00303994" w:rsidRDefault="00303994" w:rsidP="00F0287B">
            <w:pPr>
              <w:spacing w:before="43" w:after="30" w:line="300" w:lineRule="auto"/>
              <w:ind w:left="55"/>
            </w:pPr>
            <w:r>
              <w:rPr>
                <w:b/>
                <w:color w:val="454545"/>
              </w:rPr>
              <w:t xml:space="preserve">Wolfram </w:t>
            </w:r>
            <w:proofErr w:type="spellStart"/>
            <w:r>
              <w:rPr>
                <w:b/>
                <w:color w:val="454545"/>
              </w:rPr>
              <w:t>Bergbau</w:t>
            </w:r>
            <w:proofErr w:type="spellEnd"/>
            <w:r>
              <w:rPr>
                <w:b/>
                <w:color w:val="454545"/>
              </w:rPr>
              <w:t xml:space="preserve"> und Hutten AG**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1CE49CB" w14:textId="77777777" w:rsidR="00303994" w:rsidRDefault="00303994" w:rsidP="00F0287B">
            <w:pPr>
              <w:spacing w:before="43" w:after="30" w:line="300" w:lineRule="auto"/>
              <w:ind w:left="55"/>
            </w:pPr>
            <w:r>
              <w:rPr>
                <w:b/>
                <w:color w:val="454545"/>
              </w:rPr>
              <w:t>CID002044</w:t>
            </w:r>
          </w:p>
        </w:tc>
      </w:tr>
      <w:tr w:rsidR="00303994" w14:paraId="7B4D0E8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909029"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2F7516E" w14:textId="77777777" w:rsidR="00303994" w:rsidRDefault="00303994" w:rsidP="00F0287B">
            <w:pPr>
              <w:spacing w:before="43" w:after="30" w:line="300" w:lineRule="auto"/>
              <w:ind w:left="55"/>
            </w:pPr>
            <w:r>
              <w:rPr>
                <w:b/>
                <w:color w:val="454545"/>
              </w:rPr>
              <w:t>Xiamen Tungsten (H.C.)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4FBCF4F" w14:textId="77777777" w:rsidR="00303994" w:rsidRDefault="00303994" w:rsidP="00F0287B">
            <w:pPr>
              <w:spacing w:before="43" w:after="30" w:line="300" w:lineRule="auto"/>
              <w:ind w:left="55"/>
            </w:pPr>
            <w:r>
              <w:rPr>
                <w:b/>
                <w:color w:val="454545"/>
              </w:rPr>
              <w:t>CID002320</w:t>
            </w:r>
          </w:p>
        </w:tc>
      </w:tr>
      <w:tr w:rsidR="00303994" w14:paraId="2E1C384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33ECA5"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0A636A" w14:textId="77777777" w:rsidR="00303994" w:rsidRDefault="00303994" w:rsidP="00F0287B">
            <w:pPr>
              <w:spacing w:before="43" w:after="30" w:line="300" w:lineRule="auto"/>
              <w:ind w:left="55"/>
            </w:pPr>
            <w:r>
              <w:rPr>
                <w:b/>
                <w:color w:val="454545"/>
              </w:rPr>
              <w:t>Xiamen Tungsten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6949B72" w14:textId="77777777" w:rsidR="00303994" w:rsidRDefault="00303994" w:rsidP="00F0287B">
            <w:pPr>
              <w:spacing w:before="43" w:after="30" w:line="300" w:lineRule="auto"/>
              <w:ind w:left="55"/>
            </w:pPr>
            <w:r>
              <w:rPr>
                <w:b/>
                <w:color w:val="454545"/>
              </w:rPr>
              <w:t>CID002082</w:t>
            </w:r>
          </w:p>
        </w:tc>
      </w:tr>
      <w:tr w:rsidR="00303994" w14:paraId="10CBFB3F"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BA71FA2"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7553A8" w14:textId="77777777" w:rsidR="00303994" w:rsidRDefault="00303994" w:rsidP="00F0287B">
            <w:pPr>
              <w:spacing w:before="43" w:after="30" w:line="300" w:lineRule="auto"/>
              <w:ind w:left="55"/>
            </w:pPr>
            <w:proofErr w:type="spellStart"/>
            <w:r>
              <w:rPr>
                <w:b/>
                <w:color w:val="454545"/>
              </w:rPr>
              <w:t>Xinfeng</w:t>
            </w:r>
            <w:proofErr w:type="spellEnd"/>
            <w:r>
              <w:rPr>
                <w:b/>
                <w:color w:val="454545"/>
              </w:rPr>
              <w:t xml:space="preserve"> </w:t>
            </w:r>
            <w:proofErr w:type="spellStart"/>
            <w:r>
              <w:rPr>
                <w:b/>
                <w:color w:val="454545"/>
              </w:rPr>
              <w:t>Huarui</w:t>
            </w:r>
            <w:proofErr w:type="spellEnd"/>
            <w:r>
              <w:rPr>
                <w:b/>
                <w:color w:val="454545"/>
              </w:rPr>
              <w:t xml:space="preserve"> Tungsten &amp; Molybdenum New Material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1172AA7" w14:textId="77777777" w:rsidR="00303994" w:rsidRDefault="00303994" w:rsidP="00F0287B">
            <w:pPr>
              <w:spacing w:before="43" w:after="30" w:line="300" w:lineRule="auto"/>
              <w:ind w:left="55"/>
            </w:pPr>
            <w:r>
              <w:rPr>
                <w:b/>
                <w:color w:val="454545"/>
              </w:rPr>
              <w:t>CID002830</w:t>
            </w:r>
          </w:p>
        </w:tc>
      </w:tr>
      <w:tr w:rsidR="00303994" w14:paraId="28E8D35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726AA9"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C72E03C" w14:textId="77777777" w:rsidR="00303994" w:rsidRDefault="00303994" w:rsidP="00F0287B">
            <w:pPr>
              <w:spacing w:before="43" w:after="30" w:line="300" w:lineRule="auto"/>
              <w:ind w:left="55"/>
            </w:pPr>
            <w:r>
              <w:rPr>
                <w:b/>
                <w:color w:val="454545"/>
              </w:rPr>
              <w:t>A.L.M.T. Corp.**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E114DF6" w14:textId="77777777" w:rsidR="00303994" w:rsidRDefault="00303994" w:rsidP="00F0287B">
            <w:pPr>
              <w:spacing w:before="43" w:after="30" w:line="300" w:lineRule="auto"/>
              <w:ind w:left="55"/>
            </w:pPr>
            <w:r>
              <w:rPr>
                <w:b/>
                <w:color w:val="454545"/>
              </w:rPr>
              <w:t>CID000004</w:t>
            </w:r>
          </w:p>
        </w:tc>
      </w:tr>
      <w:tr w:rsidR="00303994" w14:paraId="62FC0D0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00D647"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6290635" w14:textId="77777777" w:rsidR="00303994" w:rsidRDefault="00303994" w:rsidP="00F0287B">
            <w:pPr>
              <w:spacing w:before="43" w:after="30" w:line="300" w:lineRule="auto"/>
              <w:ind w:left="55"/>
            </w:pPr>
            <w:r>
              <w:rPr>
                <w:b/>
                <w:color w:val="454545"/>
              </w:rPr>
              <w:t>KGETS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EE003BC" w14:textId="77777777" w:rsidR="00303994" w:rsidRDefault="00303994" w:rsidP="00F0287B">
            <w:pPr>
              <w:spacing w:before="43" w:after="30" w:line="300" w:lineRule="auto"/>
              <w:ind w:left="55"/>
            </w:pPr>
            <w:r>
              <w:rPr>
                <w:b/>
                <w:color w:val="454545"/>
              </w:rPr>
              <w:t>CID003388</w:t>
            </w:r>
          </w:p>
        </w:tc>
      </w:tr>
      <w:tr w:rsidR="00303994" w14:paraId="4CB20CC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A8C9530"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E4455DC" w14:textId="77777777" w:rsidR="00303994" w:rsidRDefault="00303994" w:rsidP="00F0287B">
            <w:pPr>
              <w:spacing w:before="43" w:after="30" w:line="300" w:lineRule="auto"/>
              <w:ind w:left="55"/>
            </w:pPr>
            <w:r>
              <w:rPr>
                <w:b/>
                <w:color w:val="454545"/>
              </w:rPr>
              <w:t xml:space="preserve">Fujian </w:t>
            </w:r>
            <w:proofErr w:type="spellStart"/>
            <w:r>
              <w:rPr>
                <w:b/>
                <w:color w:val="454545"/>
              </w:rPr>
              <w:t>Ganmin</w:t>
            </w:r>
            <w:proofErr w:type="spellEnd"/>
            <w:r>
              <w:rPr>
                <w:b/>
                <w:color w:val="454545"/>
              </w:rPr>
              <w:t xml:space="preserve"> </w:t>
            </w:r>
            <w:proofErr w:type="spellStart"/>
            <w:r>
              <w:rPr>
                <w:b/>
                <w:color w:val="454545"/>
              </w:rPr>
              <w:t>RareMetal</w:t>
            </w:r>
            <w:proofErr w:type="spellEnd"/>
            <w:r>
              <w:rPr>
                <w:b/>
                <w:color w:val="454545"/>
              </w:rPr>
              <w:t xml:space="preserv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E9EC9D7" w14:textId="77777777" w:rsidR="00303994" w:rsidRDefault="00303994" w:rsidP="00F0287B">
            <w:pPr>
              <w:spacing w:before="43" w:after="30" w:line="300" w:lineRule="auto"/>
              <w:ind w:left="55"/>
            </w:pPr>
            <w:r>
              <w:rPr>
                <w:b/>
                <w:color w:val="454545"/>
              </w:rPr>
              <w:t>CID003401</w:t>
            </w:r>
          </w:p>
        </w:tc>
      </w:tr>
      <w:tr w:rsidR="00303994" w14:paraId="66C1FE1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5A0252C"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BEF9C0" w14:textId="77777777" w:rsidR="00303994" w:rsidRDefault="00303994" w:rsidP="00F0287B">
            <w:pPr>
              <w:spacing w:before="43" w:after="30" w:line="300" w:lineRule="auto"/>
              <w:ind w:left="55"/>
            </w:pPr>
            <w:proofErr w:type="spellStart"/>
            <w:r>
              <w:rPr>
                <w:b/>
                <w:color w:val="454545"/>
              </w:rPr>
              <w:t>Lianyou</w:t>
            </w:r>
            <w:proofErr w:type="spellEnd"/>
            <w:r>
              <w:rPr>
                <w:b/>
                <w:color w:val="454545"/>
              </w:rPr>
              <w:t xml:space="preserve">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88022BF" w14:textId="77777777" w:rsidR="00303994" w:rsidRDefault="00303994" w:rsidP="00F0287B">
            <w:pPr>
              <w:spacing w:before="43" w:after="30" w:line="300" w:lineRule="auto"/>
              <w:ind w:left="55"/>
            </w:pPr>
            <w:r>
              <w:rPr>
                <w:b/>
                <w:color w:val="454545"/>
              </w:rPr>
              <w:t>CID003407</w:t>
            </w:r>
          </w:p>
        </w:tc>
      </w:tr>
      <w:tr w:rsidR="00303994" w14:paraId="477B9E5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3D5FD8"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92B0BE" w14:textId="77777777" w:rsidR="00303994" w:rsidRDefault="00303994" w:rsidP="00F0287B">
            <w:pPr>
              <w:spacing w:before="43" w:after="30" w:line="300" w:lineRule="auto"/>
              <w:ind w:left="55"/>
            </w:pPr>
            <w:r>
              <w:rPr>
                <w:b/>
                <w:color w:val="454545"/>
              </w:rPr>
              <w:t>CNMC (Guangxi) PGMA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293499B" w14:textId="77777777" w:rsidR="00303994" w:rsidRDefault="00303994" w:rsidP="00F0287B">
            <w:pPr>
              <w:spacing w:before="43" w:after="30" w:line="300" w:lineRule="auto"/>
              <w:ind w:left="55"/>
            </w:pPr>
            <w:r>
              <w:rPr>
                <w:b/>
                <w:color w:val="454545"/>
              </w:rPr>
              <w:t>CID000281</w:t>
            </w:r>
          </w:p>
        </w:tc>
      </w:tr>
      <w:tr w:rsidR="00303994" w14:paraId="47FA6D0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C756F8D"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45642A" w14:textId="77777777" w:rsidR="00303994" w:rsidRDefault="00303994" w:rsidP="00F0287B">
            <w:pPr>
              <w:spacing w:before="43" w:after="30" w:line="300" w:lineRule="auto"/>
              <w:ind w:left="55"/>
            </w:pPr>
            <w:r>
              <w:rPr>
                <w:b/>
                <w:color w:val="454545"/>
              </w:rPr>
              <w:t>JSC "</w:t>
            </w:r>
            <w:proofErr w:type="spellStart"/>
            <w:r>
              <w:rPr>
                <w:b/>
                <w:color w:val="454545"/>
              </w:rPr>
              <w:t>Kirovgrad</w:t>
            </w:r>
            <w:proofErr w:type="spellEnd"/>
            <w:r>
              <w:rPr>
                <w:b/>
                <w:color w:val="454545"/>
              </w:rPr>
              <w:t xml:space="preserve"> Hard Alloys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120877C" w14:textId="77777777" w:rsidR="00303994" w:rsidRDefault="00303994" w:rsidP="00F0287B">
            <w:pPr>
              <w:spacing w:before="43" w:after="30" w:line="300" w:lineRule="auto"/>
              <w:ind w:left="55"/>
            </w:pPr>
            <w:r>
              <w:rPr>
                <w:b/>
                <w:color w:val="454545"/>
              </w:rPr>
              <w:t>CID003408</w:t>
            </w:r>
          </w:p>
        </w:tc>
      </w:tr>
      <w:tr w:rsidR="00303994" w14:paraId="2CAE526D"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346161"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D88B1EA" w14:textId="77777777" w:rsidR="00303994" w:rsidRDefault="00303994" w:rsidP="00F0287B">
            <w:pPr>
              <w:spacing w:before="43" w:after="30" w:line="300" w:lineRule="auto"/>
              <w:ind w:left="55"/>
            </w:pPr>
            <w:proofErr w:type="spellStart"/>
            <w:r>
              <w:rPr>
                <w:b/>
                <w:color w:val="454545"/>
              </w:rPr>
              <w:t>Jingmen</w:t>
            </w:r>
            <w:proofErr w:type="spellEnd"/>
            <w:r>
              <w:rPr>
                <w:b/>
                <w:color w:val="454545"/>
              </w:rPr>
              <w:t xml:space="preserve"> </w:t>
            </w:r>
            <w:proofErr w:type="spellStart"/>
            <w:r>
              <w:rPr>
                <w:b/>
                <w:color w:val="454545"/>
              </w:rPr>
              <w:t>Dewei</w:t>
            </w:r>
            <w:proofErr w:type="spellEnd"/>
            <w:r>
              <w:rPr>
                <w:b/>
                <w:color w:val="454545"/>
              </w:rPr>
              <w:t xml:space="preserve"> GEM Tungsten Resources Recycling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01E123B" w14:textId="77777777" w:rsidR="00303994" w:rsidRDefault="00303994" w:rsidP="00F0287B">
            <w:pPr>
              <w:spacing w:before="43" w:after="30" w:line="300" w:lineRule="auto"/>
              <w:ind w:left="55"/>
            </w:pPr>
            <w:r>
              <w:rPr>
                <w:b/>
                <w:color w:val="454545"/>
              </w:rPr>
              <w:t>CID003417</w:t>
            </w:r>
          </w:p>
        </w:tc>
      </w:tr>
      <w:tr w:rsidR="00303994" w14:paraId="504FD1D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69CF624"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E9B950D" w14:textId="77777777" w:rsidR="00303994" w:rsidRDefault="00303994" w:rsidP="00F0287B">
            <w:pPr>
              <w:spacing w:before="43" w:after="30" w:line="300" w:lineRule="auto"/>
              <w:ind w:left="55"/>
            </w:pPr>
            <w:r>
              <w:rPr>
                <w:b/>
                <w:color w:val="454545"/>
              </w:rPr>
              <w:t>OOO “</w:t>
            </w:r>
            <w:proofErr w:type="spellStart"/>
            <w:r>
              <w:rPr>
                <w:b/>
                <w:color w:val="454545"/>
              </w:rPr>
              <w:t>Technolom</w:t>
            </w:r>
            <w:proofErr w:type="spellEnd"/>
            <w:r>
              <w:rPr>
                <w:b/>
                <w:color w:val="454545"/>
              </w:rPr>
              <w:t>” 2**</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1B1E29F" w14:textId="77777777" w:rsidR="00303994" w:rsidRDefault="00303994" w:rsidP="00F0287B">
            <w:pPr>
              <w:spacing w:before="43" w:after="30" w:line="300" w:lineRule="auto"/>
              <w:ind w:left="55"/>
            </w:pPr>
            <w:r>
              <w:rPr>
                <w:b/>
                <w:color w:val="454545"/>
              </w:rPr>
              <w:t>CID003612</w:t>
            </w:r>
          </w:p>
        </w:tc>
      </w:tr>
      <w:tr w:rsidR="00303994" w14:paraId="07187AF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32FEE7"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69A1CF" w14:textId="77777777" w:rsidR="00303994" w:rsidRDefault="00303994" w:rsidP="00F0287B">
            <w:pPr>
              <w:spacing w:before="43" w:after="30" w:line="300" w:lineRule="auto"/>
              <w:ind w:left="55"/>
            </w:pPr>
            <w:r>
              <w:rPr>
                <w:b/>
                <w:color w:val="454545"/>
              </w:rPr>
              <w:t>OOO “</w:t>
            </w:r>
            <w:proofErr w:type="spellStart"/>
            <w:r>
              <w:rPr>
                <w:b/>
                <w:color w:val="454545"/>
              </w:rPr>
              <w:t>Technolom</w:t>
            </w:r>
            <w:proofErr w:type="spellEnd"/>
            <w:r>
              <w:rPr>
                <w:b/>
                <w:color w:val="454545"/>
              </w:rPr>
              <w:t>” 1**</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B715D63" w14:textId="77777777" w:rsidR="00303994" w:rsidRDefault="00303994" w:rsidP="00F0287B">
            <w:pPr>
              <w:spacing w:before="43" w:after="30" w:line="300" w:lineRule="auto"/>
              <w:ind w:left="55"/>
            </w:pPr>
            <w:r>
              <w:rPr>
                <w:b/>
                <w:color w:val="454545"/>
              </w:rPr>
              <w:t>CID003614</w:t>
            </w:r>
          </w:p>
        </w:tc>
      </w:tr>
      <w:tr w:rsidR="00303994" w14:paraId="54E2369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32A4C2" w14:textId="77777777" w:rsidR="00303994" w:rsidRDefault="00303994" w:rsidP="00F0287B">
            <w:pPr>
              <w:spacing w:before="43" w:after="30" w:line="300" w:lineRule="auto"/>
              <w:ind w:left="55"/>
            </w:pPr>
            <w:r>
              <w:rPr>
                <w:b/>
                <w:color w:val="454545"/>
              </w:rPr>
              <w:t>Tungsten</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EE77B73" w14:textId="77777777" w:rsidR="00303994" w:rsidRDefault="00303994" w:rsidP="00F0287B">
            <w:pPr>
              <w:spacing w:before="43" w:after="30" w:line="300" w:lineRule="auto"/>
              <w:ind w:left="55"/>
            </w:pPr>
            <w:r>
              <w:rPr>
                <w:b/>
                <w:color w:val="454545"/>
              </w:rPr>
              <w:t xml:space="preserve">Fujian </w:t>
            </w:r>
            <w:proofErr w:type="spellStart"/>
            <w:r>
              <w:rPr>
                <w:b/>
                <w:color w:val="454545"/>
              </w:rPr>
              <w:t>Xinlu</w:t>
            </w:r>
            <w:proofErr w:type="spellEnd"/>
            <w:r>
              <w:rPr>
                <w:b/>
                <w:color w:val="454545"/>
              </w:rPr>
              <w:t xml:space="preserve"> Tungsten**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1779D81" w14:textId="77777777" w:rsidR="00303994" w:rsidRDefault="00303994" w:rsidP="00F0287B">
            <w:pPr>
              <w:spacing w:before="43" w:after="30" w:line="300" w:lineRule="auto"/>
              <w:ind w:left="55"/>
            </w:pPr>
            <w:r>
              <w:rPr>
                <w:b/>
                <w:color w:val="454545"/>
              </w:rPr>
              <w:t>CID003609</w:t>
            </w:r>
          </w:p>
        </w:tc>
      </w:tr>
      <w:tr w:rsidR="00303994" w14:paraId="3E80961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554A80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BBDF8D8" w14:textId="77777777" w:rsidR="00303994" w:rsidRDefault="00303994" w:rsidP="00F0287B">
            <w:pPr>
              <w:spacing w:before="43" w:after="30" w:line="300" w:lineRule="auto"/>
              <w:ind w:left="55"/>
            </w:pPr>
            <w:r>
              <w:rPr>
                <w:b/>
                <w:color w:val="454545"/>
              </w:rPr>
              <w:t>AU Traders and Refiners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2003F13" w14:textId="77777777" w:rsidR="00303994" w:rsidRDefault="00303994" w:rsidP="00F0287B">
            <w:pPr>
              <w:spacing w:before="43" w:after="30" w:line="300" w:lineRule="auto"/>
              <w:ind w:left="55"/>
            </w:pPr>
            <w:r>
              <w:rPr>
                <w:b/>
                <w:color w:val="454545"/>
              </w:rPr>
              <w:t>CID002850</w:t>
            </w:r>
          </w:p>
        </w:tc>
      </w:tr>
      <w:tr w:rsidR="00303994" w14:paraId="6B7235B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0BCB0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797681" w14:textId="77777777" w:rsidR="00303994" w:rsidRDefault="00303994" w:rsidP="00F0287B">
            <w:pPr>
              <w:spacing w:before="43" w:after="30" w:line="300" w:lineRule="auto"/>
              <w:ind w:left="55"/>
            </w:pPr>
            <w:r>
              <w:rPr>
                <w:b/>
                <w:color w:val="454545"/>
              </w:rPr>
              <w:t>Advanced Chemical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7C42953" w14:textId="77777777" w:rsidR="00303994" w:rsidRDefault="00303994" w:rsidP="00F0287B">
            <w:pPr>
              <w:spacing w:before="43" w:after="30" w:line="300" w:lineRule="auto"/>
              <w:ind w:left="55"/>
            </w:pPr>
            <w:r>
              <w:rPr>
                <w:b/>
                <w:color w:val="454545"/>
              </w:rPr>
              <w:t>CID000015</w:t>
            </w:r>
          </w:p>
        </w:tc>
      </w:tr>
      <w:tr w:rsidR="00303994" w14:paraId="4CC0954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7844C4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9703277" w14:textId="77777777" w:rsidR="00303994" w:rsidRDefault="00303994" w:rsidP="00F0287B">
            <w:pPr>
              <w:spacing w:before="43" w:after="30" w:line="300" w:lineRule="auto"/>
              <w:ind w:left="55"/>
            </w:pPr>
            <w:r>
              <w:rPr>
                <w:b/>
                <w:color w:val="454545"/>
              </w:rPr>
              <w:t>Aida Chemical Industries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04CC8CF" w14:textId="77777777" w:rsidR="00303994" w:rsidRDefault="00303994" w:rsidP="00F0287B">
            <w:pPr>
              <w:spacing w:before="43" w:after="30" w:line="300" w:lineRule="auto"/>
              <w:ind w:left="55"/>
            </w:pPr>
            <w:r>
              <w:rPr>
                <w:b/>
                <w:color w:val="454545"/>
              </w:rPr>
              <w:t>CID000019</w:t>
            </w:r>
          </w:p>
        </w:tc>
      </w:tr>
      <w:tr w:rsidR="00303994" w14:paraId="04C3BC2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2B83D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6C6CD3" w14:textId="77777777" w:rsidR="00303994" w:rsidRDefault="00303994" w:rsidP="00F0287B">
            <w:pPr>
              <w:spacing w:before="43" w:after="30" w:line="300" w:lineRule="auto"/>
              <w:ind w:left="55"/>
            </w:pPr>
            <w:r>
              <w:rPr>
                <w:b/>
                <w:color w:val="454545"/>
              </w:rPr>
              <w:t>Al Etihad Gold Refinery DMCC**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5979F36" w14:textId="77777777" w:rsidR="00303994" w:rsidRDefault="00303994" w:rsidP="00F0287B">
            <w:pPr>
              <w:spacing w:before="43" w:after="30" w:line="300" w:lineRule="auto"/>
              <w:ind w:left="55"/>
            </w:pPr>
            <w:r>
              <w:rPr>
                <w:b/>
                <w:color w:val="454545"/>
              </w:rPr>
              <w:t>CID002560</w:t>
            </w:r>
          </w:p>
        </w:tc>
      </w:tr>
      <w:tr w:rsidR="00303994" w14:paraId="2D8C5C3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16D0D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573879" w14:textId="77777777" w:rsidR="00303994" w:rsidRDefault="00303994" w:rsidP="00F0287B">
            <w:pPr>
              <w:spacing w:before="43" w:after="30" w:line="300" w:lineRule="auto"/>
              <w:ind w:left="55"/>
            </w:pPr>
            <w:proofErr w:type="spellStart"/>
            <w:r>
              <w:rPr>
                <w:b/>
                <w:color w:val="454545"/>
              </w:rPr>
              <w:t>Alexy</w:t>
            </w:r>
            <w:proofErr w:type="spellEnd"/>
            <w:r>
              <w:rPr>
                <w:b/>
                <w:color w:val="454545"/>
              </w:rPr>
              <w:t xml:space="preserve">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F1E6EC5" w14:textId="77777777" w:rsidR="00303994" w:rsidRDefault="00303994" w:rsidP="00F0287B">
            <w:pPr>
              <w:spacing w:before="43" w:after="30" w:line="300" w:lineRule="auto"/>
              <w:ind w:left="55"/>
            </w:pPr>
            <w:r>
              <w:rPr>
                <w:b/>
                <w:color w:val="454545"/>
              </w:rPr>
              <w:t>CID003500</w:t>
            </w:r>
          </w:p>
        </w:tc>
      </w:tr>
      <w:tr w:rsidR="00303994" w14:paraId="426F6F2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BADCA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B10795" w14:textId="77777777" w:rsidR="00303994" w:rsidRDefault="00303994" w:rsidP="00F0287B">
            <w:pPr>
              <w:spacing w:before="43" w:after="30" w:line="300" w:lineRule="auto"/>
              <w:ind w:left="55"/>
            </w:pPr>
            <w:proofErr w:type="spellStart"/>
            <w:r>
              <w:rPr>
                <w:b/>
                <w:color w:val="454545"/>
              </w:rPr>
              <w:t>Agosi</w:t>
            </w:r>
            <w:proofErr w:type="spellEnd"/>
            <w:r>
              <w:rPr>
                <w:b/>
                <w:color w:val="454545"/>
              </w:rPr>
              <w:t xml:space="preserve"> AG**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D7CA915" w14:textId="77777777" w:rsidR="00303994" w:rsidRDefault="00303994" w:rsidP="00F0287B">
            <w:pPr>
              <w:spacing w:before="43" w:after="30" w:line="300" w:lineRule="auto"/>
              <w:ind w:left="55"/>
            </w:pPr>
            <w:r>
              <w:rPr>
                <w:b/>
                <w:color w:val="454545"/>
              </w:rPr>
              <w:t>CID000035</w:t>
            </w:r>
          </w:p>
        </w:tc>
      </w:tr>
      <w:tr w:rsidR="00303994" w14:paraId="6D89EA6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8092EC6"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3542D76" w14:textId="77777777" w:rsidR="00303994" w:rsidRDefault="00303994" w:rsidP="00F0287B">
            <w:pPr>
              <w:spacing w:before="43" w:after="30" w:line="300" w:lineRule="auto"/>
              <w:ind w:left="55"/>
            </w:pPr>
            <w:proofErr w:type="spellStart"/>
            <w:r>
              <w:rPr>
                <w:b/>
                <w:color w:val="454545"/>
              </w:rPr>
              <w:t>Almalyk</w:t>
            </w:r>
            <w:proofErr w:type="spellEnd"/>
            <w:r>
              <w:rPr>
                <w:b/>
                <w:color w:val="454545"/>
              </w:rPr>
              <w:t xml:space="preserve"> Mining and Metallurgical Complex (AMMC)**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F60BEF0" w14:textId="77777777" w:rsidR="00303994" w:rsidRDefault="00303994" w:rsidP="00F0287B">
            <w:pPr>
              <w:spacing w:before="43" w:after="30" w:line="300" w:lineRule="auto"/>
              <w:ind w:left="55"/>
            </w:pPr>
            <w:r>
              <w:rPr>
                <w:b/>
                <w:color w:val="454545"/>
              </w:rPr>
              <w:t>CID000041</w:t>
            </w:r>
          </w:p>
        </w:tc>
      </w:tr>
      <w:tr w:rsidR="00303994" w14:paraId="39599B4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F377D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D4A6DDE" w14:textId="77777777" w:rsidR="00303994" w:rsidRDefault="00303994" w:rsidP="00F0287B">
            <w:pPr>
              <w:spacing w:before="43" w:after="30" w:line="300" w:lineRule="auto"/>
              <w:ind w:left="55"/>
            </w:pPr>
            <w:r>
              <w:rPr>
                <w:b/>
                <w:color w:val="454545"/>
              </w:rPr>
              <w:t xml:space="preserve">AngloGold Ashanti </w:t>
            </w:r>
            <w:proofErr w:type="spellStart"/>
            <w:r>
              <w:rPr>
                <w:b/>
                <w:color w:val="454545"/>
              </w:rPr>
              <w:t>Corrego</w:t>
            </w:r>
            <w:proofErr w:type="spellEnd"/>
            <w:r>
              <w:rPr>
                <w:b/>
                <w:color w:val="454545"/>
              </w:rPr>
              <w:t xml:space="preserve"> do Sitio </w:t>
            </w:r>
            <w:proofErr w:type="spellStart"/>
            <w:r>
              <w:rPr>
                <w:b/>
                <w:color w:val="454545"/>
              </w:rPr>
              <w:t>Mineracao</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B65BEE7" w14:textId="77777777" w:rsidR="00303994" w:rsidRDefault="00303994" w:rsidP="00F0287B">
            <w:pPr>
              <w:spacing w:before="43" w:after="30" w:line="300" w:lineRule="auto"/>
              <w:ind w:left="55"/>
            </w:pPr>
            <w:r>
              <w:rPr>
                <w:b/>
                <w:color w:val="454545"/>
              </w:rPr>
              <w:t>CID000058</w:t>
            </w:r>
          </w:p>
        </w:tc>
      </w:tr>
      <w:tr w:rsidR="00303994" w14:paraId="7414CFA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DA6DA4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5105CFC" w14:textId="77777777" w:rsidR="00303994" w:rsidRDefault="00303994" w:rsidP="00F0287B">
            <w:pPr>
              <w:spacing w:before="43" w:after="30" w:line="300" w:lineRule="auto"/>
              <w:ind w:left="55"/>
            </w:pPr>
            <w:proofErr w:type="spellStart"/>
            <w:r>
              <w:rPr>
                <w:b/>
                <w:color w:val="454545"/>
              </w:rPr>
              <w:t>Argor</w:t>
            </w:r>
            <w:proofErr w:type="spellEnd"/>
            <w:r>
              <w:rPr>
                <w:b/>
                <w:color w:val="454545"/>
              </w:rPr>
              <w:t>-Heraeus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FCC1A2C" w14:textId="77777777" w:rsidR="00303994" w:rsidRDefault="00303994" w:rsidP="00F0287B">
            <w:pPr>
              <w:spacing w:before="43" w:after="30" w:line="300" w:lineRule="auto"/>
              <w:ind w:left="55"/>
            </w:pPr>
            <w:r>
              <w:rPr>
                <w:b/>
                <w:color w:val="454545"/>
              </w:rPr>
              <w:t>CID000077</w:t>
            </w:r>
          </w:p>
        </w:tc>
      </w:tr>
      <w:tr w:rsidR="00303994" w14:paraId="70304E9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6FAA1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FDDF008" w14:textId="77777777" w:rsidR="00303994" w:rsidRDefault="00303994" w:rsidP="00F0287B">
            <w:pPr>
              <w:spacing w:before="43" w:after="30" w:line="300" w:lineRule="auto"/>
              <w:ind w:left="55"/>
            </w:pPr>
            <w:r>
              <w:rPr>
                <w:b/>
                <w:color w:val="454545"/>
              </w:rPr>
              <w:t xml:space="preserve">Asahi </w:t>
            </w:r>
            <w:proofErr w:type="spellStart"/>
            <w:r>
              <w:rPr>
                <w:b/>
                <w:color w:val="454545"/>
              </w:rPr>
              <w:t>Pretec</w:t>
            </w:r>
            <w:proofErr w:type="spellEnd"/>
            <w:r>
              <w:rPr>
                <w:b/>
                <w:color w:val="454545"/>
              </w:rPr>
              <w:t xml:space="preserve"> Corp.**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04E200D" w14:textId="77777777" w:rsidR="00303994" w:rsidRDefault="00303994" w:rsidP="00F0287B">
            <w:pPr>
              <w:spacing w:before="43" w:after="30" w:line="300" w:lineRule="auto"/>
              <w:ind w:left="55"/>
            </w:pPr>
            <w:r>
              <w:rPr>
                <w:b/>
                <w:color w:val="454545"/>
              </w:rPr>
              <w:t>CID000082</w:t>
            </w:r>
          </w:p>
        </w:tc>
      </w:tr>
      <w:tr w:rsidR="00303994" w14:paraId="0EC7307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843D5B8" w14:textId="77777777" w:rsidR="00303994" w:rsidRDefault="00303994" w:rsidP="00F0287B">
            <w:pPr>
              <w:spacing w:before="43" w:after="30" w:line="300" w:lineRule="auto"/>
              <w:ind w:left="55"/>
            </w:pPr>
            <w:r>
              <w:rPr>
                <w:b/>
                <w:color w:val="454545"/>
              </w:rPr>
              <w:lastRenderedPageBreak/>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D6AA5D3" w14:textId="77777777" w:rsidR="00303994" w:rsidRDefault="00303994" w:rsidP="00F0287B">
            <w:pPr>
              <w:spacing w:before="43" w:after="30" w:line="300" w:lineRule="auto"/>
              <w:ind w:left="55"/>
            </w:pPr>
            <w:r>
              <w:rPr>
                <w:b/>
                <w:color w:val="454545"/>
              </w:rPr>
              <w:t>Asahi Refining Canada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F68490B" w14:textId="77777777" w:rsidR="00303994" w:rsidRDefault="00303994" w:rsidP="00F0287B">
            <w:pPr>
              <w:spacing w:before="43" w:after="30" w:line="300" w:lineRule="auto"/>
              <w:ind w:left="55"/>
            </w:pPr>
            <w:r>
              <w:rPr>
                <w:b/>
                <w:color w:val="454545"/>
              </w:rPr>
              <w:t>CID000924</w:t>
            </w:r>
          </w:p>
        </w:tc>
      </w:tr>
      <w:tr w:rsidR="00303994" w14:paraId="6E774C5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A9A4C3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C6AF322" w14:textId="77777777" w:rsidR="00303994" w:rsidRDefault="00303994" w:rsidP="00F0287B">
            <w:pPr>
              <w:spacing w:before="43" w:after="30" w:line="300" w:lineRule="auto"/>
              <w:ind w:left="55"/>
            </w:pPr>
            <w:r>
              <w:rPr>
                <w:b/>
                <w:color w:val="454545"/>
              </w:rPr>
              <w:t>Asahi Refining USA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DFE43AF" w14:textId="77777777" w:rsidR="00303994" w:rsidRDefault="00303994" w:rsidP="00F0287B">
            <w:pPr>
              <w:spacing w:before="43" w:after="30" w:line="300" w:lineRule="auto"/>
              <w:ind w:left="55"/>
            </w:pPr>
            <w:r>
              <w:rPr>
                <w:b/>
                <w:color w:val="454545"/>
              </w:rPr>
              <w:t>CID000920</w:t>
            </w:r>
          </w:p>
        </w:tc>
      </w:tr>
      <w:tr w:rsidR="00303994" w14:paraId="5A3AC41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B98A0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F17E04" w14:textId="77777777" w:rsidR="00303994" w:rsidRDefault="00303994" w:rsidP="00F0287B">
            <w:pPr>
              <w:spacing w:before="43" w:after="30" w:line="300" w:lineRule="auto"/>
              <w:ind w:left="55"/>
            </w:pPr>
            <w:proofErr w:type="spellStart"/>
            <w:r>
              <w:rPr>
                <w:b/>
                <w:color w:val="454545"/>
              </w:rPr>
              <w:t>Asaka</w:t>
            </w:r>
            <w:proofErr w:type="spellEnd"/>
            <w:r>
              <w:rPr>
                <w:b/>
                <w:color w:val="454545"/>
              </w:rPr>
              <w:t xml:space="preserve"> Riken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C7C5E4E" w14:textId="77777777" w:rsidR="00303994" w:rsidRDefault="00303994" w:rsidP="00F0287B">
            <w:pPr>
              <w:spacing w:before="43" w:after="30" w:line="300" w:lineRule="auto"/>
              <w:ind w:left="55"/>
            </w:pPr>
            <w:r>
              <w:rPr>
                <w:b/>
                <w:color w:val="454545"/>
              </w:rPr>
              <w:t>CID000090</w:t>
            </w:r>
          </w:p>
        </w:tc>
      </w:tr>
      <w:tr w:rsidR="00303994" w14:paraId="1E60069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B821D9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9B7201F" w14:textId="77777777" w:rsidR="00303994" w:rsidRDefault="00303994" w:rsidP="00F0287B">
            <w:pPr>
              <w:spacing w:before="43" w:after="30" w:line="300" w:lineRule="auto"/>
              <w:ind w:left="55"/>
            </w:pPr>
            <w:proofErr w:type="spellStart"/>
            <w:r>
              <w:rPr>
                <w:b/>
                <w:color w:val="454545"/>
              </w:rPr>
              <w:t>Augmont</w:t>
            </w:r>
            <w:proofErr w:type="spellEnd"/>
            <w:r>
              <w:rPr>
                <w:b/>
                <w:color w:val="454545"/>
              </w:rPr>
              <w:t xml:space="preserve"> Enterprises Private Limited**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1582A6B" w14:textId="77777777" w:rsidR="00303994" w:rsidRDefault="00303994" w:rsidP="00F0287B">
            <w:pPr>
              <w:spacing w:before="43" w:after="30" w:line="300" w:lineRule="auto"/>
              <w:ind w:left="55"/>
            </w:pPr>
            <w:r>
              <w:rPr>
                <w:b/>
                <w:color w:val="454545"/>
              </w:rPr>
              <w:t>CID003461</w:t>
            </w:r>
          </w:p>
        </w:tc>
      </w:tr>
      <w:tr w:rsidR="00303994" w14:paraId="34C54F1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E99FC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A375B9" w14:textId="77777777" w:rsidR="00303994" w:rsidRDefault="00303994" w:rsidP="00F0287B">
            <w:pPr>
              <w:spacing w:before="43" w:after="30" w:line="300" w:lineRule="auto"/>
              <w:ind w:left="55"/>
            </w:pPr>
            <w:proofErr w:type="spellStart"/>
            <w:r>
              <w:rPr>
                <w:b/>
                <w:color w:val="454545"/>
              </w:rPr>
              <w:t>Aurubis</w:t>
            </w:r>
            <w:proofErr w:type="spellEnd"/>
            <w:r>
              <w:rPr>
                <w:b/>
                <w:color w:val="454545"/>
              </w:rPr>
              <w:t xml:space="preserve"> AG**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6E831A5" w14:textId="77777777" w:rsidR="00303994" w:rsidRDefault="00303994" w:rsidP="00F0287B">
            <w:pPr>
              <w:spacing w:before="43" w:after="30" w:line="300" w:lineRule="auto"/>
              <w:ind w:left="55"/>
            </w:pPr>
            <w:r>
              <w:rPr>
                <w:b/>
                <w:color w:val="454545"/>
              </w:rPr>
              <w:t>CID000113</w:t>
            </w:r>
          </w:p>
        </w:tc>
      </w:tr>
      <w:tr w:rsidR="00303994" w14:paraId="40223EE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7848D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8F93B5" w14:textId="77777777" w:rsidR="00303994" w:rsidRDefault="00303994" w:rsidP="00F0287B">
            <w:pPr>
              <w:spacing w:before="43" w:after="30" w:line="300" w:lineRule="auto"/>
              <w:ind w:left="55"/>
            </w:pPr>
            <w:r>
              <w:rPr>
                <w:b/>
                <w:color w:val="454545"/>
              </w:rPr>
              <w:t>Bangalore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C226FA8" w14:textId="77777777" w:rsidR="00303994" w:rsidRDefault="00303994" w:rsidP="00F0287B">
            <w:pPr>
              <w:spacing w:before="43" w:after="30" w:line="300" w:lineRule="auto"/>
              <w:ind w:left="55"/>
            </w:pPr>
            <w:r>
              <w:rPr>
                <w:b/>
                <w:color w:val="454545"/>
              </w:rPr>
              <w:t>CID002863</w:t>
            </w:r>
          </w:p>
        </w:tc>
      </w:tr>
      <w:tr w:rsidR="00303994" w14:paraId="0FBC69CB"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D3C03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282D753" w14:textId="77777777" w:rsidR="00303994" w:rsidRDefault="00303994" w:rsidP="00F0287B">
            <w:pPr>
              <w:spacing w:before="43" w:after="30" w:line="300" w:lineRule="auto"/>
              <w:ind w:left="55"/>
            </w:pPr>
            <w:proofErr w:type="spellStart"/>
            <w:r>
              <w:rPr>
                <w:b/>
                <w:color w:val="454545"/>
              </w:rPr>
              <w:t>Bangko</w:t>
            </w:r>
            <w:proofErr w:type="spellEnd"/>
            <w:r>
              <w:rPr>
                <w:b/>
                <w:color w:val="454545"/>
              </w:rPr>
              <w:t xml:space="preserve"> </w:t>
            </w:r>
            <w:proofErr w:type="spellStart"/>
            <w:r>
              <w:rPr>
                <w:b/>
                <w:color w:val="454545"/>
              </w:rPr>
              <w:t>Sentral</w:t>
            </w:r>
            <w:proofErr w:type="spellEnd"/>
            <w:r>
              <w:rPr>
                <w:b/>
                <w:color w:val="454545"/>
              </w:rPr>
              <w:t xml:space="preserve"> ng </w:t>
            </w:r>
            <w:proofErr w:type="spellStart"/>
            <w:r>
              <w:rPr>
                <w:b/>
                <w:color w:val="454545"/>
              </w:rPr>
              <w:t>Pilipinas</w:t>
            </w:r>
            <w:proofErr w:type="spellEnd"/>
            <w:r>
              <w:rPr>
                <w:b/>
                <w:color w:val="454545"/>
              </w:rPr>
              <w:t xml:space="preserve"> (Central Bank of the Philippines)**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08B6C09" w14:textId="77777777" w:rsidR="00303994" w:rsidRDefault="00303994" w:rsidP="00F0287B">
            <w:pPr>
              <w:spacing w:before="43" w:after="30" w:line="300" w:lineRule="auto"/>
              <w:ind w:left="55"/>
            </w:pPr>
            <w:r>
              <w:rPr>
                <w:b/>
                <w:color w:val="454545"/>
              </w:rPr>
              <w:t>CID000128</w:t>
            </w:r>
          </w:p>
        </w:tc>
      </w:tr>
      <w:tr w:rsidR="00303994" w14:paraId="04C38D5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A33400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2C179F" w14:textId="77777777" w:rsidR="00303994" w:rsidRDefault="00303994" w:rsidP="00F0287B">
            <w:pPr>
              <w:spacing w:before="43" w:after="30" w:line="300" w:lineRule="auto"/>
              <w:ind w:left="55"/>
            </w:pPr>
            <w:r>
              <w:rPr>
                <w:b/>
                <w:color w:val="454545"/>
              </w:rPr>
              <w:t>Boliden AB**</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59308C0" w14:textId="77777777" w:rsidR="00303994" w:rsidRDefault="00303994" w:rsidP="00F0287B">
            <w:pPr>
              <w:spacing w:before="43" w:after="30" w:line="300" w:lineRule="auto"/>
              <w:ind w:left="55"/>
            </w:pPr>
            <w:r>
              <w:rPr>
                <w:b/>
                <w:color w:val="454545"/>
              </w:rPr>
              <w:t>CID000157</w:t>
            </w:r>
          </w:p>
        </w:tc>
      </w:tr>
      <w:tr w:rsidR="00303994" w14:paraId="1444896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12D39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64B5704" w14:textId="77777777" w:rsidR="00303994" w:rsidRDefault="00303994" w:rsidP="00F0287B">
            <w:pPr>
              <w:spacing w:before="43" w:after="30" w:line="300" w:lineRule="auto"/>
              <w:ind w:left="55"/>
            </w:pPr>
            <w:r>
              <w:rPr>
                <w:b/>
                <w:color w:val="454545"/>
              </w:rPr>
              <w:t>C. Hafner GmbH + Co. KG**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355F92B" w14:textId="77777777" w:rsidR="00303994" w:rsidRDefault="00303994" w:rsidP="00F0287B">
            <w:pPr>
              <w:spacing w:before="43" w:after="30" w:line="300" w:lineRule="auto"/>
              <w:ind w:left="55"/>
            </w:pPr>
            <w:r>
              <w:rPr>
                <w:b/>
                <w:color w:val="454545"/>
              </w:rPr>
              <w:t>CID000176</w:t>
            </w:r>
          </w:p>
        </w:tc>
      </w:tr>
      <w:tr w:rsidR="00303994" w14:paraId="27DA90D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4577F9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C6C1E2" w14:textId="77777777" w:rsidR="00303994" w:rsidRDefault="00303994" w:rsidP="00F0287B">
            <w:pPr>
              <w:spacing w:before="43" w:after="30" w:line="300" w:lineRule="auto"/>
              <w:ind w:left="55"/>
            </w:pPr>
            <w:r>
              <w:rPr>
                <w:b/>
                <w:color w:val="454545"/>
              </w:rPr>
              <w:t xml:space="preserve">C.I </w:t>
            </w:r>
            <w:proofErr w:type="spellStart"/>
            <w:r>
              <w:rPr>
                <w:b/>
                <w:color w:val="454545"/>
              </w:rPr>
              <w:t>Metales</w:t>
            </w:r>
            <w:proofErr w:type="spellEnd"/>
            <w:r>
              <w:rPr>
                <w:b/>
                <w:color w:val="454545"/>
              </w:rPr>
              <w:t xml:space="preserve"> </w:t>
            </w:r>
            <w:proofErr w:type="spellStart"/>
            <w:r>
              <w:rPr>
                <w:b/>
                <w:color w:val="454545"/>
              </w:rPr>
              <w:t>Procesados</w:t>
            </w:r>
            <w:proofErr w:type="spellEnd"/>
            <w:r>
              <w:rPr>
                <w:b/>
                <w:color w:val="454545"/>
              </w:rPr>
              <w:t xml:space="preserve"> </w:t>
            </w:r>
            <w:proofErr w:type="spellStart"/>
            <w:r>
              <w:rPr>
                <w:b/>
                <w:color w:val="454545"/>
              </w:rPr>
              <w:t>Industriales</w:t>
            </w:r>
            <w:proofErr w:type="spellEnd"/>
            <w:r>
              <w:rPr>
                <w:b/>
                <w:color w:val="454545"/>
              </w:rPr>
              <w:t xml:space="preserve"> SAS**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308E8E0" w14:textId="77777777" w:rsidR="00303994" w:rsidRDefault="00303994" w:rsidP="00F0287B">
            <w:pPr>
              <w:spacing w:before="43" w:after="30" w:line="300" w:lineRule="auto"/>
              <w:ind w:left="55"/>
            </w:pPr>
            <w:r>
              <w:rPr>
                <w:b/>
                <w:color w:val="454545"/>
              </w:rPr>
              <w:t>CID003421</w:t>
            </w:r>
          </w:p>
        </w:tc>
      </w:tr>
      <w:tr w:rsidR="00303994" w14:paraId="6FF9993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6F2B20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A4023F" w14:textId="77777777" w:rsidR="00303994" w:rsidRDefault="00303994" w:rsidP="00F0287B">
            <w:pPr>
              <w:spacing w:before="43" w:after="30" w:line="300" w:lineRule="auto"/>
              <w:ind w:left="55"/>
            </w:pPr>
            <w:r>
              <w:rPr>
                <w:b/>
                <w:color w:val="454545"/>
              </w:rPr>
              <w:t>CCR Refinery - Glencore Canada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9F6E69A" w14:textId="77777777" w:rsidR="00303994" w:rsidRDefault="00303994" w:rsidP="00F0287B">
            <w:pPr>
              <w:spacing w:before="43" w:after="30" w:line="300" w:lineRule="auto"/>
              <w:ind w:left="55"/>
            </w:pPr>
            <w:r>
              <w:rPr>
                <w:b/>
                <w:color w:val="454545"/>
              </w:rPr>
              <w:t>CID000185</w:t>
            </w:r>
          </w:p>
        </w:tc>
      </w:tr>
      <w:tr w:rsidR="00303994" w14:paraId="3CA146B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5784CD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329B1CD" w14:textId="77777777" w:rsidR="00303994" w:rsidRDefault="00303994" w:rsidP="00F0287B">
            <w:pPr>
              <w:spacing w:before="43" w:after="30" w:line="300" w:lineRule="auto"/>
              <w:ind w:left="55"/>
            </w:pPr>
            <w:r>
              <w:rPr>
                <w:b/>
                <w:color w:val="454545"/>
              </w:rPr>
              <w:t>Caridad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196AE15" w14:textId="77777777" w:rsidR="00303994" w:rsidRDefault="00303994" w:rsidP="00F0287B">
            <w:pPr>
              <w:spacing w:before="43" w:after="30" w:line="300" w:lineRule="auto"/>
              <w:ind w:left="55"/>
            </w:pPr>
            <w:r>
              <w:rPr>
                <w:b/>
                <w:color w:val="454545"/>
              </w:rPr>
              <w:t>CID000180</w:t>
            </w:r>
          </w:p>
        </w:tc>
      </w:tr>
      <w:tr w:rsidR="00303994" w14:paraId="1079EAC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222478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81EBB3E" w14:textId="77777777" w:rsidR="00303994" w:rsidRDefault="00303994" w:rsidP="00F0287B">
            <w:pPr>
              <w:spacing w:before="43" w:after="30" w:line="300" w:lineRule="auto"/>
              <w:ind w:left="55"/>
            </w:pPr>
            <w:proofErr w:type="spellStart"/>
            <w:r>
              <w:rPr>
                <w:b/>
                <w:color w:val="454545"/>
              </w:rPr>
              <w:t>Cendres</w:t>
            </w:r>
            <w:proofErr w:type="spellEnd"/>
            <w:r>
              <w:rPr>
                <w:b/>
                <w:color w:val="454545"/>
              </w:rPr>
              <w:t xml:space="preserve"> + </w:t>
            </w:r>
            <w:proofErr w:type="spellStart"/>
            <w:r>
              <w:rPr>
                <w:b/>
                <w:color w:val="454545"/>
              </w:rPr>
              <w:t>Metaux</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E021203" w14:textId="77777777" w:rsidR="00303994" w:rsidRDefault="00303994" w:rsidP="00F0287B">
            <w:pPr>
              <w:spacing w:before="43" w:after="30" w:line="300" w:lineRule="auto"/>
              <w:ind w:left="55"/>
            </w:pPr>
            <w:r>
              <w:rPr>
                <w:b/>
                <w:color w:val="454545"/>
              </w:rPr>
              <w:t>CID000189</w:t>
            </w:r>
          </w:p>
        </w:tc>
      </w:tr>
      <w:tr w:rsidR="00303994" w14:paraId="1A8579C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030F7D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A1A0C4" w14:textId="77777777" w:rsidR="00303994" w:rsidRDefault="00303994" w:rsidP="00F0287B">
            <w:pPr>
              <w:spacing w:before="43" w:after="30" w:line="300" w:lineRule="auto"/>
              <w:ind w:left="55"/>
            </w:pPr>
            <w:proofErr w:type="spellStart"/>
            <w:r>
              <w:rPr>
                <w:b/>
                <w:color w:val="454545"/>
              </w:rPr>
              <w:t>Chimet</w:t>
            </w:r>
            <w:proofErr w:type="spellEnd"/>
            <w:r>
              <w:rPr>
                <w:b/>
                <w:color w:val="454545"/>
              </w:rPr>
              <w:t xml:space="preserve"> S.p.A.**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0A163FC" w14:textId="77777777" w:rsidR="00303994" w:rsidRDefault="00303994" w:rsidP="00F0287B">
            <w:pPr>
              <w:spacing w:before="43" w:after="30" w:line="300" w:lineRule="auto"/>
              <w:ind w:left="55"/>
            </w:pPr>
            <w:r>
              <w:rPr>
                <w:b/>
                <w:color w:val="454545"/>
              </w:rPr>
              <w:t>CID000233</w:t>
            </w:r>
          </w:p>
        </w:tc>
      </w:tr>
      <w:tr w:rsidR="00303994" w14:paraId="5AEBA08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D9DF98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07B4E6C" w14:textId="77777777" w:rsidR="00303994" w:rsidRDefault="00303994" w:rsidP="00F0287B">
            <w:pPr>
              <w:spacing w:before="43" w:after="30" w:line="300" w:lineRule="auto"/>
              <w:ind w:left="55"/>
            </w:pPr>
            <w:r>
              <w:rPr>
                <w:b/>
                <w:color w:val="454545"/>
              </w:rPr>
              <w:t>Chugai Mining**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57C418E" w14:textId="77777777" w:rsidR="00303994" w:rsidRDefault="00303994" w:rsidP="00F0287B">
            <w:pPr>
              <w:spacing w:before="43" w:after="30" w:line="300" w:lineRule="auto"/>
              <w:ind w:left="55"/>
            </w:pPr>
            <w:r>
              <w:rPr>
                <w:b/>
                <w:color w:val="454545"/>
              </w:rPr>
              <w:t>CID000264</w:t>
            </w:r>
          </w:p>
        </w:tc>
      </w:tr>
      <w:tr w:rsidR="00303994" w14:paraId="0D3E408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C7A4C6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D0BB45" w14:textId="77777777" w:rsidR="00303994" w:rsidRDefault="00303994" w:rsidP="00F0287B">
            <w:pPr>
              <w:spacing w:before="43" w:after="30" w:line="300" w:lineRule="auto"/>
              <w:ind w:left="55"/>
            </w:pPr>
            <w:r>
              <w:rPr>
                <w:b/>
                <w:color w:val="454545"/>
              </w:rPr>
              <w:t>DODUCO Contacts and Refining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4AD08FA" w14:textId="77777777" w:rsidR="00303994" w:rsidRDefault="00303994" w:rsidP="00F0287B">
            <w:pPr>
              <w:spacing w:before="43" w:after="30" w:line="300" w:lineRule="auto"/>
              <w:ind w:left="55"/>
            </w:pPr>
            <w:r>
              <w:rPr>
                <w:b/>
                <w:color w:val="454545"/>
              </w:rPr>
              <w:t>CID000362</w:t>
            </w:r>
          </w:p>
        </w:tc>
      </w:tr>
      <w:tr w:rsidR="00303994" w14:paraId="7284E57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83E4F7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7C3D15" w14:textId="77777777" w:rsidR="00303994" w:rsidRDefault="00303994" w:rsidP="00F0287B">
            <w:pPr>
              <w:spacing w:before="43" w:after="30" w:line="300" w:lineRule="auto"/>
              <w:ind w:left="55"/>
            </w:pPr>
            <w:r>
              <w:rPr>
                <w:b/>
                <w:color w:val="454545"/>
              </w:rPr>
              <w:t>DSC (Do Sung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E404431" w14:textId="77777777" w:rsidR="00303994" w:rsidRDefault="00303994" w:rsidP="00F0287B">
            <w:pPr>
              <w:spacing w:before="43" w:after="30" w:line="300" w:lineRule="auto"/>
              <w:ind w:left="55"/>
            </w:pPr>
            <w:r>
              <w:rPr>
                <w:b/>
                <w:color w:val="454545"/>
              </w:rPr>
              <w:t>CID000359</w:t>
            </w:r>
          </w:p>
        </w:tc>
      </w:tr>
      <w:tr w:rsidR="00303994" w14:paraId="7079F6B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F64D68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A861ADD" w14:textId="77777777" w:rsidR="00303994" w:rsidRDefault="00303994" w:rsidP="00F0287B">
            <w:pPr>
              <w:spacing w:before="43" w:after="30" w:line="300" w:lineRule="auto"/>
              <w:ind w:left="55"/>
            </w:pPr>
            <w:r>
              <w:rPr>
                <w:b/>
                <w:color w:val="454545"/>
              </w:rPr>
              <w:t>Daye Non-Ferrous Metals Mining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5C13779" w14:textId="77777777" w:rsidR="00303994" w:rsidRDefault="00303994" w:rsidP="00F0287B">
            <w:pPr>
              <w:spacing w:before="43" w:after="30" w:line="300" w:lineRule="auto"/>
              <w:ind w:left="55"/>
            </w:pPr>
            <w:r>
              <w:rPr>
                <w:b/>
                <w:color w:val="454545"/>
              </w:rPr>
              <w:t>CID000343</w:t>
            </w:r>
          </w:p>
        </w:tc>
      </w:tr>
      <w:tr w:rsidR="00303994" w14:paraId="4D5871C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1FAE1E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0B9853A" w14:textId="77777777" w:rsidR="00303994" w:rsidRDefault="00303994" w:rsidP="00F0287B">
            <w:pPr>
              <w:spacing w:before="43" w:after="30" w:line="300" w:lineRule="auto"/>
              <w:ind w:left="55"/>
            </w:pPr>
            <w:r>
              <w:rPr>
                <w:b/>
                <w:color w:val="454545"/>
              </w:rPr>
              <w:t>Dowa**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838FD41" w14:textId="77777777" w:rsidR="00303994" w:rsidRDefault="00303994" w:rsidP="00F0287B">
            <w:pPr>
              <w:spacing w:before="43" w:after="30" w:line="300" w:lineRule="auto"/>
              <w:ind w:left="55"/>
            </w:pPr>
            <w:r>
              <w:rPr>
                <w:b/>
                <w:color w:val="454545"/>
              </w:rPr>
              <w:t>CID000401</w:t>
            </w:r>
          </w:p>
        </w:tc>
      </w:tr>
      <w:tr w:rsidR="00303994" w14:paraId="769EF51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5114D2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C9F963" w14:textId="77777777" w:rsidR="00303994" w:rsidRDefault="00303994" w:rsidP="00F0287B">
            <w:pPr>
              <w:spacing w:before="43" w:after="30" w:line="300" w:lineRule="auto"/>
              <w:ind w:left="55"/>
            </w:pPr>
            <w:r>
              <w:rPr>
                <w:b/>
                <w:color w:val="454545"/>
              </w:rPr>
              <w:t>Eco-System Recycling Co., Ltd. North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670F620" w14:textId="77777777" w:rsidR="00303994" w:rsidRDefault="00303994" w:rsidP="00F0287B">
            <w:pPr>
              <w:spacing w:before="43" w:after="30" w:line="300" w:lineRule="auto"/>
              <w:ind w:left="55"/>
            </w:pPr>
            <w:r>
              <w:rPr>
                <w:b/>
                <w:color w:val="454545"/>
              </w:rPr>
              <w:t>CID003424</w:t>
            </w:r>
          </w:p>
        </w:tc>
      </w:tr>
      <w:tr w:rsidR="00303994" w14:paraId="28D650C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2CD6B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236B574" w14:textId="77777777" w:rsidR="00303994" w:rsidRDefault="00303994" w:rsidP="00F0287B">
            <w:pPr>
              <w:spacing w:before="43" w:after="30" w:line="300" w:lineRule="auto"/>
              <w:ind w:left="55"/>
            </w:pPr>
            <w:r>
              <w:rPr>
                <w:b/>
                <w:color w:val="454545"/>
              </w:rPr>
              <w:t>Eco-System Recycling Co., Ltd. West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DBDDBC" w14:textId="77777777" w:rsidR="00303994" w:rsidRDefault="00303994" w:rsidP="00F0287B">
            <w:pPr>
              <w:spacing w:before="43" w:after="30" w:line="300" w:lineRule="auto"/>
              <w:ind w:left="55"/>
            </w:pPr>
            <w:r>
              <w:rPr>
                <w:b/>
                <w:color w:val="454545"/>
              </w:rPr>
              <w:t>CID003425</w:t>
            </w:r>
          </w:p>
        </w:tc>
      </w:tr>
      <w:tr w:rsidR="00303994" w14:paraId="00D4816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0E6008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2AF9FF3" w14:textId="77777777" w:rsidR="00303994" w:rsidRDefault="00303994" w:rsidP="00F0287B">
            <w:pPr>
              <w:spacing w:before="43" w:after="30" w:line="300" w:lineRule="auto"/>
              <w:ind w:left="55"/>
            </w:pPr>
            <w:r>
              <w:rPr>
                <w:b/>
                <w:color w:val="454545"/>
              </w:rPr>
              <w:t>Emirates Gold DMCC**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69803BF" w14:textId="77777777" w:rsidR="00303994" w:rsidRDefault="00303994" w:rsidP="00F0287B">
            <w:pPr>
              <w:spacing w:before="43" w:after="30" w:line="300" w:lineRule="auto"/>
              <w:ind w:left="55"/>
            </w:pPr>
            <w:r>
              <w:rPr>
                <w:b/>
                <w:color w:val="454545"/>
              </w:rPr>
              <w:t>CID002561</w:t>
            </w:r>
          </w:p>
        </w:tc>
      </w:tr>
      <w:tr w:rsidR="00303994" w14:paraId="497C5CF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74AC5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04B610" w14:textId="77777777" w:rsidR="00303994" w:rsidRDefault="00303994" w:rsidP="00F0287B">
            <w:pPr>
              <w:spacing w:before="43" w:after="30" w:line="300" w:lineRule="auto"/>
              <w:ind w:left="55"/>
            </w:pPr>
            <w:r>
              <w:rPr>
                <w:b/>
                <w:color w:val="454545"/>
              </w:rPr>
              <w:t>GGC Gujrat Gold Centre Pvt.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5C96032" w14:textId="77777777" w:rsidR="00303994" w:rsidRDefault="00303994" w:rsidP="00F0287B">
            <w:pPr>
              <w:spacing w:before="43" w:after="30" w:line="300" w:lineRule="auto"/>
              <w:ind w:left="55"/>
            </w:pPr>
            <w:r>
              <w:rPr>
                <w:b/>
                <w:color w:val="454545"/>
              </w:rPr>
              <w:t>CID002852</w:t>
            </w:r>
          </w:p>
        </w:tc>
      </w:tr>
      <w:tr w:rsidR="00303994" w14:paraId="75A52F6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06704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90E2EC1" w14:textId="77777777" w:rsidR="00303994" w:rsidRDefault="00303994" w:rsidP="00F0287B">
            <w:pPr>
              <w:spacing w:before="43" w:after="30" w:line="300" w:lineRule="auto"/>
              <w:ind w:left="55"/>
            </w:pPr>
            <w:proofErr w:type="spellStart"/>
            <w:r>
              <w:rPr>
                <w:b/>
                <w:color w:val="454545"/>
              </w:rPr>
              <w:t>Geib</w:t>
            </w:r>
            <w:proofErr w:type="spellEnd"/>
            <w:r>
              <w:rPr>
                <w:b/>
                <w:color w:val="454545"/>
              </w:rPr>
              <w:t xml:space="preserve"> Refining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0248F95" w14:textId="77777777" w:rsidR="00303994" w:rsidRDefault="00303994" w:rsidP="00F0287B">
            <w:pPr>
              <w:spacing w:before="43" w:after="30" w:line="300" w:lineRule="auto"/>
              <w:ind w:left="55"/>
            </w:pPr>
            <w:r>
              <w:rPr>
                <w:b/>
                <w:color w:val="454545"/>
              </w:rPr>
              <w:t>CID002459</w:t>
            </w:r>
          </w:p>
        </w:tc>
      </w:tr>
      <w:tr w:rsidR="00303994" w14:paraId="64F0C94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1962C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1F05C91" w14:textId="77777777" w:rsidR="00303994" w:rsidRDefault="00303994" w:rsidP="00F0287B">
            <w:pPr>
              <w:spacing w:before="43" w:after="30" w:line="300" w:lineRule="auto"/>
              <w:ind w:left="55"/>
            </w:pPr>
            <w:r>
              <w:rPr>
                <w:b/>
                <w:color w:val="454545"/>
              </w:rPr>
              <w:t>Gold Refinery of Zijin Mining Group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D1BF772" w14:textId="77777777" w:rsidR="00303994" w:rsidRDefault="00303994" w:rsidP="00F0287B">
            <w:pPr>
              <w:spacing w:before="43" w:after="30" w:line="300" w:lineRule="auto"/>
              <w:ind w:left="55"/>
            </w:pPr>
            <w:r>
              <w:rPr>
                <w:b/>
                <w:color w:val="454545"/>
              </w:rPr>
              <w:t>CID002243</w:t>
            </w:r>
          </w:p>
        </w:tc>
      </w:tr>
      <w:tr w:rsidR="00303994" w14:paraId="19580FB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4665BD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5DD5583" w14:textId="77777777" w:rsidR="00303994" w:rsidRDefault="00303994" w:rsidP="00F0287B">
            <w:pPr>
              <w:spacing w:before="43" w:after="30" w:line="300" w:lineRule="auto"/>
              <w:ind w:left="55"/>
            </w:pPr>
            <w:r>
              <w:rPr>
                <w:b/>
                <w:color w:val="454545"/>
              </w:rPr>
              <w:t>Great Wall Precious Metals Co., Ltd. of CBPM</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72674B4" w14:textId="77777777" w:rsidR="00303994" w:rsidRDefault="00303994" w:rsidP="00F0287B">
            <w:pPr>
              <w:spacing w:before="43" w:after="30" w:line="300" w:lineRule="auto"/>
              <w:ind w:left="55"/>
            </w:pPr>
            <w:r>
              <w:rPr>
                <w:b/>
                <w:color w:val="454545"/>
              </w:rPr>
              <w:t>CID001909</w:t>
            </w:r>
          </w:p>
        </w:tc>
      </w:tr>
      <w:tr w:rsidR="00303994" w14:paraId="40899CE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26059F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683B30" w14:textId="77777777" w:rsidR="00303994" w:rsidRDefault="00303994" w:rsidP="00F0287B">
            <w:pPr>
              <w:spacing w:before="43" w:after="30" w:line="300" w:lineRule="auto"/>
              <w:ind w:left="55"/>
            </w:pPr>
            <w:r>
              <w:rPr>
                <w:b/>
                <w:color w:val="454545"/>
              </w:rPr>
              <w:t xml:space="preserve">Guangdong </w:t>
            </w:r>
            <w:proofErr w:type="spellStart"/>
            <w:r>
              <w:rPr>
                <w:b/>
                <w:color w:val="454545"/>
              </w:rPr>
              <w:t>Jinding</w:t>
            </w:r>
            <w:proofErr w:type="spellEnd"/>
            <w:r>
              <w:rPr>
                <w:b/>
                <w:color w:val="454545"/>
              </w:rPr>
              <w:t xml:space="preserve"> Gold Limited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AB36DD7" w14:textId="77777777" w:rsidR="00303994" w:rsidRDefault="00303994" w:rsidP="00F0287B">
            <w:pPr>
              <w:spacing w:before="43" w:after="30" w:line="300" w:lineRule="auto"/>
              <w:ind w:left="55"/>
            </w:pPr>
            <w:r>
              <w:rPr>
                <w:b/>
                <w:color w:val="454545"/>
              </w:rPr>
              <w:t>CID002312</w:t>
            </w:r>
          </w:p>
        </w:tc>
      </w:tr>
      <w:tr w:rsidR="00303994" w14:paraId="6448AA0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A564FC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C3F1554" w14:textId="77777777" w:rsidR="00303994" w:rsidRDefault="00303994" w:rsidP="00F0287B">
            <w:pPr>
              <w:spacing w:before="43" w:after="30" w:line="300" w:lineRule="auto"/>
              <w:ind w:left="55"/>
            </w:pPr>
            <w:proofErr w:type="spellStart"/>
            <w:r>
              <w:rPr>
                <w:b/>
                <w:color w:val="454545"/>
              </w:rPr>
              <w:t>Guoda</w:t>
            </w:r>
            <w:proofErr w:type="spellEnd"/>
            <w:r>
              <w:rPr>
                <w:b/>
                <w:color w:val="454545"/>
              </w:rPr>
              <w:t xml:space="preserve"> Safina High-Tech Environmental Refinery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B220C8E" w14:textId="77777777" w:rsidR="00303994" w:rsidRDefault="00303994" w:rsidP="00F0287B">
            <w:pPr>
              <w:spacing w:before="43" w:after="30" w:line="300" w:lineRule="auto"/>
              <w:ind w:left="55"/>
            </w:pPr>
            <w:r>
              <w:rPr>
                <w:b/>
                <w:color w:val="454545"/>
              </w:rPr>
              <w:t>CID000651</w:t>
            </w:r>
          </w:p>
        </w:tc>
      </w:tr>
      <w:tr w:rsidR="00303994" w14:paraId="3486C0A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2AEE37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595D25" w14:textId="77777777" w:rsidR="00303994" w:rsidRDefault="00303994" w:rsidP="00F0287B">
            <w:pPr>
              <w:spacing w:before="43" w:after="30" w:line="300" w:lineRule="auto"/>
              <w:ind w:left="55"/>
            </w:pPr>
            <w:r>
              <w:rPr>
                <w:b/>
                <w:color w:val="454545"/>
              </w:rPr>
              <w:t xml:space="preserve">Hangzhou </w:t>
            </w:r>
            <w:proofErr w:type="spellStart"/>
            <w:r>
              <w:rPr>
                <w:b/>
                <w:color w:val="454545"/>
              </w:rPr>
              <w:t>Fuchunjiang</w:t>
            </w:r>
            <w:proofErr w:type="spellEnd"/>
            <w:r>
              <w:rPr>
                <w:b/>
                <w:color w:val="454545"/>
              </w:rPr>
              <w:t xml:space="preserve"> Smelting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1571327" w14:textId="77777777" w:rsidR="00303994" w:rsidRDefault="00303994" w:rsidP="00F0287B">
            <w:pPr>
              <w:spacing w:before="43" w:after="30" w:line="300" w:lineRule="auto"/>
              <w:ind w:left="55"/>
            </w:pPr>
            <w:r>
              <w:rPr>
                <w:b/>
                <w:color w:val="454545"/>
              </w:rPr>
              <w:t>CID000671</w:t>
            </w:r>
          </w:p>
        </w:tc>
      </w:tr>
      <w:tr w:rsidR="00303994" w14:paraId="2D64118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0994EF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477F99C" w14:textId="77777777" w:rsidR="00303994" w:rsidRDefault="00303994" w:rsidP="00F0287B">
            <w:pPr>
              <w:spacing w:before="43" w:after="30" w:line="300" w:lineRule="auto"/>
              <w:ind w:left="55"/>
            </w:pPr>
            <w:proofErr w:type="spellStart"/>
            <w:r>
              <w:rPr>
                <w:b/>
                <w:color w:val="454545"/>
              </w:rPr>
              <w:t>Heimerle</w:t>
            </w:r>
            <w:proofErr w:type="spellEnd"/>
            <w:r>
              <w:rPr>
                <w:b/>
                <w:color w:val="454545"/>
              </w:rPr>
              <w:t xml:space="preserve"> + </w:t>
            </w:r>
            <w:proofErr w:type="spellStart"/>
            <w:r>
              <w:rPr>
                <w:b/>
                <w:color w:val="454545"/>
              </w:rPr>
              <w:t>Meule</w:t>
            </w:r>
            <w:proofErr w:type="spellEnd"/>
            <w:r>
              <w:rPr>
                <w:b/>
                <w:color w:val="454545"/>
              </w:rPr>
              <w:t xml:space="preserve">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9AF83E8" w14:textId="77777777" w:rsidR="00303994" w:rsidRDefault="00303994" w:rsidP="00F0287B">
            <w:pPr>
              <w:spacing w:before="43" w:after="30" w:line="300" w:lineRule="auto"/>
              <w:ind w:left="55"/>
            </w:pPr>
            <w:r>
              <w:rPr>
                <w:b/>
                <w:color w:val="454545"/>
              </w:rPr>
              <w:t>CID000694</w:t>
            </w:r>
          </w:p>
        </w:tc>
      </w:tr>
      <w:tr w:rsidR="00303994" w14:paraId="4F79497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01555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34AB27" w14:textId="77777777" w:rsidR="00303994" w:rsidRDefault="00303994" w:rsidP="00F0287B">
            <w:pPr>
              <w:spacing w:before="43" w:after="30" w:line="300" w:lineRule="auto"/>
              <w:ind w:left="55"/>
            </w:pPr>
            <w:r>
              <w:rPr>
                <w:b/>
                <w:color w:val="454545"/>
              </w:rPr>
              <w:t>Heraeus Germany GmbH Co. KG**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096AD0B" w14:textId="77777777" w:rsidR="00303994" w:rsidRDefault="00303994" w:rsidP="00F0287B">
            <w:pPr>
              <w:spacing w:before="43" w:after="30" w:line="300" w:lineRule="auto"/>
              <w:ind w:left="55"/>
            </w:pPr>
            <w:r>
              <w:rPr>
                <w:b/>
                <w:color w:val="454545"/>
              </w:rPr>
              <w:t>CID000711</w:t>
            </w:r>
          </w:p>
        </w:tc>
      </w:tr>
      <w:tr w:rsidR="00303994" w14:paraId="1C1778D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0495E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F87F4F" w14:textId="77777777" w:rsidR="00303994" w:rsidRDefault="00303994" w:rsidP="00F0287B">
            <w:pPr>
              <w:spacing w:before="43" w:after="30" w:line="300" w:lineRule="auto"/>
              <w:ind w:left="55"/>
            </w:pPr>
            <w:r>
              <w:rPr>
                <w:b/>
                <w:color w:val="454545"/>
              </w:rPr>
              <w:t>Heraeus Metals Hong Kong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D38EE36" w14:textId="77777777" w:rsidR="00303994" w:rsidRDefault="00303994" w:rsidP="00F0287B">
            <w:pPr>
              <w:spacing w:before="43" w:after="30" w:line="300" w:lineRule="auto"/>
              <w:ind w:left="55"/>
            </w:pPr>
            <w:r>
              <w:rPr>
                <w:b/>
                <w:color w:val="454545"/>
              </w:rPr>
              <w:t>CID000707</w:t>
            </w:r>
          </w:p>
        </w:tc>
      </w:tr>
      <w:tr w:rsidR="00303994" w14:paraId="1CF305D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83A72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4B11F60" w14:textId="77777777" w:rsidR="00303994" w:rsidRDefault="00303994" w:rsidP="00F0287B">
            <w:pPr>
              <w:spacing w:before="43" w:after="30" w:line="300" w:lineRule="auto"/>
              <w:ind w:left="55"/>
            </w:pPr>
            <w:r>
              <w:rPr>
                <w:b/>
                <w:color w:val="454545"/>
              </w:rPr>
              <w:t xml:space="preserve">Hunan </w:t>
            </w:r>
            <w:proofErr w:type="spellStart"/>
            <w:r>
              <w:rPr>
                <w:b/>
                <w:color w:val="454545"/>
              </w:rPr>
              <w:t>Chenzhou</w:t>
            </w:r>
            <w:proofErr w:type="spellEnd"/>
            <w:r>
              <w:rPr>
                <w:b/>
                <w:color w:val="454545"/>
              </w:rPr>
              <w:t xml:space="preserve"> Mining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A0D57ED" w14:textId="77777777" w:rsidR="00303994" w:rsidRDefault="00303994" w:rsidP="00F0287B">
            <w:pPr>
              <w:spacing w:before="43" w:after="30" w:line="300" w:lineRule="auto"/>
              <w:ind w:left="55"/>
            </w:pPr>
            <w:r>
              <w:rPr>
                <w:b/>
                <w:color w:val="454545"/>
              </w:rPr>
              <w:t>CID000767</w:t>
            </w:r>
          </w:p>
        </w:tc>
      </w:tr>
      <w:tr w:rsidR="00303994" w14:paraId="0EEACE1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2334A9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C25681" w14:textId="77777777" w:rsidR="00303994" w:rsidRDefault="00303994" w:rsidP="00F0287B">
            <w:pPr>
              <w:spacing w:before="43" w:after="30" w:line="300" w:lineRule="auto"/>
              <w:ind w:left="55"/>
            </w:pPr>
            <w:r>
              <w:rPr>
                <w:b/>
                <w:color w:val="454545"/>
              </w:rPr>
              <w:t>Industrial Refining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E7D7B29" w14:textId="77777777" w:rsidR="00303994" w:rsidRDefault="00303994" w:rsidP="00F0287B">
            <w:pPr>
              <w:spacing w:before="43" w:after="30" w:line="300" w:lineRule="auto"/>
              <w:ind w:left="55"/>
            </w:pPr>
            <w:r>
              <w:rPr>
                <w:b/>
                <w:color w:val="454545"/>
              </w:rPr>
              <w:t>CID002587</w:t>
            </w:r>
          </w:p>
        </w:tc>
      </w:tr>
      <w:tr w:rsidR="00303994" w14:paraId="1EBE3897"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0F19F1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0717240" w14:textId="77777777" w:rsidR="00303994" w:rsidRDefault="00303994" w:rsidP="00F0287B">
            <w:pPr>
              <w:spacing w:before="43" w:after="30" w:line="300" w:lineRule="auto"/>
              <w:ind w:left="55"/>
            </w:pPr>
            <w:r>
              <w:rPr>
                <w:b/>
                <w:color w:val="454545"/>
              </w:rPr>
              <w:t xml:space="preserve">Inner Mongolia </w:t>
            </w:r>
            <w:proofErr w:type="spellStart"/>
            <w:r>
              <w:rPr>
                <w:b/>
                <w:color w:val="454545"/>
              </w:rPr>
              <w:t>Qiankun</w:t>
            </w:r>
            <w:proofErr w:type="spellEnd"/>
            <w:r>
              <w:rPr>
                <w:b/>
                <w:color w:val="454545"/>
              </w:rPr>
              <w:t xml:space="preserve"> Gold and Silver Refinery Share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B38D7DF" w14:textId="77777777" w:rsidR="00303994" w:rsidRDefault="00303994" w:rsidP="00F0287B">
            <w:pPr>
              <w:spacing w:before="43" w:after="30" w:line="300" w:lineRule="auto"/>
              <w:ind w:left="55"/>
            </w:pPr>
            <w:r>
              <w:rPr>
                <w:b/>
                <w:color w:val="454545"/>
              </w:rPr>
              <w:t>CID000801</w:t>
            </w:r>
          </w:p>
        </w:tc>
      </w:tr>
      <w:tr w:rsidR="00303994" w14:paraId="1958875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28DC3A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970255" w14:textId="77777777" w:rsidR="00303994" w:rsidRDefault="00303994" w:rsidP="00F0287B">
            <w:pPr>
              <w:spacing w:before="43" w:after="30" w:line="300" w:lineRule="auto"/>
              <w:ind w:left="55"/>
            </w:pPr>
            <w:proofErr w:type="spellStart"/>
            <w:r>
              <w:rPr>
                <w:b/>
                <w:color w:val="454545"/>
              </w:rPr>
              <w:t>Ishifuku</w:t>
            </w:r>
            <w:proofErr w:type="spellEnd"/>
            <w:r>
              <w:rPr>
                <w:b/>
                <w:color w:val="454545"/>
              </w:rPr>
              <w:t xml:space="preserve"> Metal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341409D" w14:textId="77777777" w:rsidR="00303994" w:rsidRDefault="00303994" w:rsidP="00F0287B">
            <w:pPr>
              <w:spacing w:before="43" w:after="30" w:line="300" w:lineRule="auto"/>
              <w:ind w:left="55"/>
            </w:pPr>
            <w:r>
              <w:rPr>
                <w:b/>
                <w:color w:val="454545"/>
              </w:rPr>
              <w:t>CID000807</w:t>
            </w:r>
          </w:p>
        </w:tc>
      </w:tr>
      <w:tr w:rsidR="00303994" w14:paraId="322AE4B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4C4F2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E853009" w14:textId="77777777" w:rsidR="00303994" w:rsidRDefault="00303994" w:rsidP="00F0287B">
            <w:pPr>
              <w:spacing w:before="43" w:after="30" w:line="300" w:lineRule="auto"/>
              <w:ind w:left="55"/>
            </w:pPr>
            <w:r>
              <w:rPr>
                <w:b/>
                <w:color w:val="454545"/>
              </w:rPr>
              <w:t>Istanbul Gold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6908AD5" w14:textId="77777777" w:rsidR="00303994" w:rsidRDefault="00303994" w:rsidP="00F0287B">
            <w:pPr>
              <w:spacing w:before="43" w:after="30" w:line="300" w:lineRule="auto"/>
              <w:ind w:left="55"/>
            </w:pPr>
            <w:r>
              <w:rPr>
                <w:b/>
                <w:color w:val="454545"/>
              </w:rPr>
              <w:t>CID000814</w:t>
            </w:r>
          </w:p>
        </w:tc>
      </w:tr>
      <w:tr w:rsidR="00303994" w14:paraId="40A6D83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296454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9ECC973" w14:textId="77777777" w:rsidR="00303994" w:rsidRDefault="00303994" w:rsidP="00F0287B">
            <w:pPr>
              <w:spacing w:before="43" w:after="30" w:line="300" w:lineRule="auto"/>
              <w:ind w:left="55"/>
            </w:pPr>
            <w:proofErr w:type="spellStart"/>
            <w:r>
              <w:rPr>
                <w:b/>
                <w:color w:val="454545"/>
              </w:rPr>
              <w:t>Italpreziosi</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F92901" w14:textId="77777777" w:rsidR="00303994" w:rsidRDefault="00303994" w:rsidP="00F0287B">
            <w:pPr>
              <w:spacing w:before="43" w:after="30" w:line="300" w:lineRule="auto"/>
              <w:ind w:left="55"/>
            </w:pPr>
            <w:r>
              <w:rPr>
                <w:b/>
                <w:color w:val="454545"/>
              </w:rPr>
              <w:t>CID002765</w:t>
            </w:r>
          </w:p>
        </w:tc>
      </w:tr>
      <w:tr w:rsidR="00303994" w14:paraId="349BCF5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BC283E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04C579E" w14:textId="77777777" w:rsidR="00303994" w:rsidRDefault="00303994" w:rsidP="00F0287B">
            <w:pPr>
              <w:spacing w:before="43" w:after="30" w:line="300" w:lineRule="auto"/>
              <w:ind w:left="55"/>
            </w:pPr>
            <w:r>
              <w:rPr>
                <w:b/>
                <w:color w:val="454545"/>
              </w:rPr>
              <w:t>JSC Novosibirsk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CA228A" w14:textId="77777777" w:rsidR="00303994" w:rsidRDefault="00303994" w:rsidP="00F0287B">
            <w:pPr>
              <w:spacing w:before="43" w:after="30" w:line="300" w:lineRule="auto"/>
              <w:ind w:left="55"/>
            </w:pPr>
            <w:r>
              <w:rPr>
                <w:b/>
                <w:color w:val="454545"/>
              </w:rPr>
              <w:t>CID000493</w:t>
            </w:r>
          </w:p>
        </w:tc>
      </w:tr>
      <w:tr w:rsidR="00303994" w14:paraId="6CB17F2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86D1F5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57CF9A" w14:textId="77777777" w:rsidR="00303994" w:rsidRDefault="00303994" w:rsidP="00F0287B">
            <w:pPr>
              <w:spacing w:before="43" w:after="30" w:line="300" w:lineRule="auto"/>
              <w:ind w:left="55"/>
            </w:pPr>
            <w:r>
              <w:rPr>
                <w:b/>
                <w:color w:val="454545"/>
              </w:rPr>
              <w:t xml:space="preserve">JSC </w:t>
            </w:r>
            <w:proofErr w:type="spellStart"/>
            <w:r>
              <w:rPr>
                <w:b/>
                <w:color w:val="454545"/>
              </w:rPr>
              <w:t>Uralelectromed</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CC42AF9" w14:textId="77777777" w:rsidR="00303994" w:rsidRDefault="00303994" w:rsidP="00F0287B">
            <w:pPr>
              <w:spacing w:before="43" w:after="30" w:line="300" w:lineRule="auto"/>
              <w:ind w:left="55"/>
            </w:pPr>
            <w:r>
              <w:rPr>
                <w:b/>
                <w:color w:val="454545"/>
              </w:rPr>
              <w:t>CID000929</w:t>
            </w:r>
          </w:p>
        </w:tc>
      </w:tr>
      <w:tr w:rsidR="00303994" w14:paraId="7224016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68D0B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01AED26" w14:textId="77777777" w:rsidR="00303994" w:rsidRDefault="00303994" w:rsidP="00F0287B">
            <w:pPr>
              <w:spacing w:before="43" w:after="30" w:line="300" w:lineRule="auto"/>
              <w:ind w:left="55"/>
            </w:pPr>
            <w:r>
              <w:rPr>
                <w:b/>
                <w:color w:val="454545"/>
              </w:rPr>
              <w:t>JX Nippon Mining &amp;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4086C00" w14:textId="77777777" w:rsidR="00303994" w:rsidRDefault="00303994" w:rsidP="00F0287B">
            <w:pPr>
              <w:spacing w:before="43" w:after="30" w:line="300" w:lineRule="auto"/>
              <w:ind w:left="55"/>
            </w:pPr>
            <w:r>
              <w:rPr>
                <w:b/>
                <w:color w:val="454545"/>
              </w:rPr>
              <w:t>CID000937</w:t>
            </w:r>
          </w:p>
        </w:tc>
      </w:tr>
      <w:tr w:rsidR="00303994" w14:paraId="78F0894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A55FC7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FC368C6" w14:textId="77777777" w:rsidR="00303994" w:rsidRDefault="00303994" w:rsidP="00F0287B">
            <w:pPr>
              <w:spacing w:before="43" w:after="30" w:line="300" w:lineRule="auto"/>
              <w:ind w:left="55"/>
            </w:pPr>
            <w:r>
              <w:rPr>
                <w:b/>
                <w:color w:val="454545"/>
              </w:rPr>
              <w:t>Japan Mint**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6976453" w14:textId="77777777" w:rsidR="00303994" w:rsidRDefault="00303994" w:rsidP="00F0287B">
            <w:pPr>
              <w:spacing w:before="43" w:after="30" w:line="300" w:lineRule="auto"/>
              <w:ind w:left="55"/>
            </w:pPr>
            <w:r>
              <w:rPr>
                <w:b/>
                <w:color w:val="454545"/>
              </w:rPr>
              <w:t>CID000823</w:t>
            </w:r>
          </w:p>
        </w:tc>
      </w:tr>
      <w:tr w:rsidR="00303994" w14:paraId="723B1F0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ED08EA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FCF5A1" w14:textId="77777777" w:rsidR="00303994" w:rsidRDefault="00303994" w:rsidP="00F0287B">
            <w:pPr>
              <w:spacing w:before="43" w:after="30" w:line="300" w:lineRule="auto"/>
              <w:ind w:left="55"/>
            </w:pPr>
            <w:r>
              <w:rPr>
                <w:b/>
                <w:color w:val="454545"/>
              </w:rPr>
              <w:t>Jiangxi Copper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0680957" w14:textId="77777777" w:rsidR="00303994" w:rsidRDefault="00303994" w:rsidP="00F0287B">
            <w:pPr>
              <w:spacing w:before="43" w:after="30" w:line="300" w:lineRule="auto"/>
              <w:ind w:left="55"/>
            </w:pPr>
            <w:r>
              <w:rPr>
                <w:b/>
                <w:color w:val="454545"/>
              </w:rPr>
              <w:t>CID000855</w:t>
            </w:r>
          </w:p>
        </w:tc>
      </w:tr>
      <w:tr w:rsidR="00303994" w14:paraId="63FC314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213F6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3895A28" w14:textId="77777777" w:rsidR="00303994" w:rsidRDefault="00303994" w:rsidP="00F0287B">
            <w:pPr>
              <w:spacing w:before="43" w:after="30" w:line="300" w:lineRule="auto"/>
              <w:ind w:left="55"/>
            </w:pPr>
            <w:r>
              <w:rPr>
                <w:b/>
                <w:color w:val="454545"/>
              </w:rPr>
              <w:t xml:space="preserve">KGHM </w:t>
            </w:r>
            <w:proofErr w:type="spellStart"/>
            <w:r>
              <w:rPr>
                <w:b/>
                <w:color w:val="454545"/>
              </w:rPr>
              <w:t>Polska</w:t>
            </w:r>
            <w:proofErr w:type="spellEnd"/>
            <w:r>
              <w:rPr>
                <w:b/>
                <w:color w:val="454545"/>
              </w:rPr>
              <w:t xml:space="preserve"> </w:t>
            </w:r>
            <w:proofErr w:type="spellStart"/>
            <w:r>
              <w:rPr>
                <w:b/>
                <w:color w:val="454545"/>
              </w:rPr>
              <w:t>Miedz</w:t>
            </w:r>
            <w:proofErr w:type="spellEnd"/>
            <w:r>
              <w:rPr>
                <w:b/>
                <w:color w:val="454545"/>
              </w:rPr>
              <w:t xml:space="preserve"> </w:t>
            </w:r>
            <w:proofErr w:type="spellStart"/>
            <w:r>
              <w:rPr>
                <w:b/>
                <w:color w:val="454545"/>
              </w:rPr>
              <w:t>Spolka</w:t>
            </w:r>
            <w:proofErr w:type="spellEnd"/>
            <w:r>
              <w:rPr>
                <w:b/>
                <w:color w:val="454545"/>
              </w:rPr>
              <w:t xml:space="preserve"> </w:t>
            </w:r>
            <w:proofErr w:type="spellStart"/>
            <w:r>
              <w:rPr>
                <w:b/>
                <w:color w:val="454545"/>
              </w:rPr>
              <w:t>Akcyjna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549C47" w14:textId="77777777" w:rsidR="00303994" w:rsidRDefault="00303994" w:rsidP="00F0287B">
            <w:pPr>
              <w:spacing w:before="43" w:after="30" w:line="300" w:lineRule="auto"/>
              <w:ind w:left="55"/>
            </w:pPr>
            <w:r>
              <w:rPr>
                <w:b/>
                <w:color w:val="454545"/>
              </w:rPr>
              <w:t>CID002511</w:t>
            </w:r>
          </w:p>
        </w:tc>
      </w:tr>
      <w:tr w:rsidR="00303994" w14:paraId="0F48499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CFB305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7A07EB" w14:textId="77777777" w:rsidR="00303994" w:rsidRDefault="00303994" w:rsidP="00F0287B">
            <w:pPr>
              <w:spacing w:before="43" w:after="30" w:line="300" w:lineRule="auto"/>
              <w:ind w:left="55"/>
            </w:pPr>
            <w:proofErr w:type="spellStart"/>
            <w:r>
              <w:rPr>
                <w:b/>
                <w:color w:val="454545"/>
              </w:rPr>
              <w:t>Kazakhmys</w:t>
            </w:r>
            <w:proofErr w:type="spellEnd"/>
            <w:r>
              <w:rPr>
                <w:b/>
                <w:color w:val="454545"/>
              </w:rPr>
              <w:t xml:space="preserve"> Smelting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38E9073" w14:textId="77777777" w:rsidR="00303994" w:rsidRDefault="00303994" w:rsidP="00F0287B">
            <w:pPr>
              <w:spacing w:before="43" w:after="30" w:line="300" w:lineRule="auto"/>
              <w:ind w:left="55"/>
            </w:pPr>
            <w:r>
              <w:rPr>
                <w:b/>
                <w:color w:val="454545"/>
              </w:rPr>
              <w:t>CID000956</w:t>
            </w:r>
          </w:p>
        </w:tc>
      </w:tr>
      <w:tr w:rsidR="00303994" w14:paraId="5F1732A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3C2070" w14:textId="77777777" w:rsidR="00303994" w:rsidRDefault="00303994" w:rsidP="00F0287B">
            <w:pPr>
              <w:spacing w:before="43" w:after="30" w:line="300" w:lineRule="auto"/>
              <w:ind w:left="55"/>
            </w:pPr>
            <w:r>
              <w:rPr>
                <w:b/>
                <w:color w:val="454545"/>
              </w:rPr>
              <w:lastRenderedPageBreak/>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4B548D3" w14:textId="77777777" w:rsidR="00303994" w:rsidRDefault="00303994" w:rsidP="00F0287B">
            <w:pPr>
              <w:spacing w:before="43" w:after="30" w:line="300" w:lineRule="auto"/>
              <w:ind w:left="55"/>
            </w:pPr>
            <w:proofErr w:type="spellStart"/>
            <w:r>
              <w:rPr>
                <w:b/>
                <w:color w:val="454545"/>
              </w:rPr>
              <w:t>Kazzinc</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9B77BDB" w14:textId="77777777" w:rsidR="00303994" w:rsidRDefault="00303994" w:rsidP="00F0287B">
            <w:pPr>
              <w:spacing w:before="43" w:after="30" w:line="300" w:lineRule="auto"/>
              <w:ind w:left="55"/>
            </w:pPr>
            <w:r>
              <w:rPr>
                <w:b/>
                <w:color w:val="454545"/>
              </w:rPr>
              <w:t>CID000957</w:t>
            </w:r>
          </w:p>
        </w:tc>
      </w:tr>
      <w:tr w:rsidR="00303994" w14:paraId="7E86446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8005146"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3A9AE8" w14:textId="77777777" w:rsidR="00303994" w:rsidRDefault="00303994" w:rsidP="00F0287B">
            <w:pPr>
              <w:spacing w:before="43" w:after="30" w:line="300" w:lineRule="auto"/>
              <w:ind w:left="55"/>
            </w:pPr>
            <w:r>
              <w:rPr>
                <w:b/>
                <w:color w:val="454545"/>
              </w:rPr>
              <w:t>Kennecott Utah Copper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655A420" w14:textId="77777777" w:rsidR="00303994" w:rsidRDefault="00303994" w:rsidP="00F0287B">
            <w:pPr>
              <w:spacing w:before="43" w:after="30" w:line="300" w:lineRule="auto"/>
              <w:ind w:left="55"/>
            </w:pPr>
            <w:r>
              <w:rPr>
                <w:b/>
                <w:color w:val="454545"/>
              </w:rPr>
              <w:t>CID000969</w:t>
            </w:r>
          </w:p>
        </w:tc>
      </w:tr>
      <w:tr w:rsidR="00303994" w14:paraId="4725CD9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FFB090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C95EA58" w14:textId="77777777" w:rsidR="00303994" w:rsidRDefault="00303994" w:rsidP="00F0287B">
            <w:pPr>
              <w:spacing w:before="43" w:after="30" w:line="300" w:lineRule="auto"/>
              <w:ind w:left="55"/>
            </w:pPr>
            <w:r>
              <w:rPr>
                <w:b/>
                <w:color w:val="454545"/>
              </w:rPr>
              <w:t>Kojima Chemicals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E4C109A" w14:textId="77777777" w:rsidR="00303994" w:rsidRDefault="00303994" w:rsidP="00F0287B">
            <w:pPr>
              <w:spacing w:before="43" w:after="30" w:line="300" w:lineRule="auto"/>
              <w:ind w:left="55"/>
            </w:pPr>
            <w:r>
              <w:rPr>
                <w:b/>
                <w:color w:val="454545"/>
              </w:rPr>
              <w:t>CID000981</w:t>
            </w:r>
          </w:p>
        </w:tc>
      </w:tr>
      <w:tr w:rsidR="00303994" w14:paraId="584A422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4D1E8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99FB5C" w14:textId="77777777" w:rsidR="00303994" w:rsidRDefault="00303994" w:rsidP="00F0287B">
            <w:pPr>
              <w:spacing w:before="43" w:after="30" w:line="300" w:lineRule="auto"/>
              <w:ind w:left="55"/>
            </w:pPr>
            <w:r>
              <w:rPr>
                <w:b/>
                <w:color w:val="454545"/>
              </w:rPr>
              <w:t>Korea Zinc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34CE718" w14:textId="77777777" w:rsidR="00303994" w:rsidRDefault="00303994" w:rsidP="00F0287B">
            <w:pPr>
              <w:spacing w:before="43" w:after="30" w:line="300" w:lineRule="auto"/>
              <w:ind w:left="55"/>
            </w:pPr>
            <w:r>
              <w:rPr>
                <w:b/>
                <w:color w:val="454545"/>
              </w:rPr>
              <w:t>CID002605</w:t>
            </w:r>
          </w:p>
        </w:tc>
      </w:tr>
      <w:tr w:rsidR="00303994" w14:paraId="081B508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3D7F7F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F50312A" w14:textId="77777777" w:rsidR="00303994" w:rsidRDefault="00303994" w:rsidP="00F0287B">
            <w:pPr>
              <w:spacing w:before="43" w:after="30" w:line="300" w:lineRule="auto"/>
              <w:ind w:left="55"/>
            </w:pPr>
            <w:proofErr w:type="spellStart"/>
            <w:r>
              <w:rPr>
                <w:b/>
                <w:color w:val="454545"/>
              </w:rPr>
              <w:t>Kyrgyzaltyn</w:t>
            </w:r>
            <w:proofErr w:type="spellEnd"/>
            <w:r>
              <w:rPr>
                <w:b/>
                <w:color w:val="454545"/>
              </w:rPr>
              <w:t xml:space="preserve"> JSC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27B1D2E" w14:textId="77777777" w:rsidR="00303994" w:rsidRDefault="00303994" w:rsidP="00F0287B">
            <w:pPr>
              <w:spacing w:before="43" w:after="30" w:line="300" w:lineRule="auto"/>
              <w:ind w:left="55"/>
            </w:pPr>
            <w:r>
              <w:rPr>
                <w:b/>
                <w:color w:val="454545"/>
              </w:rPr>
              <w:t>CID001029</w:t>
            </w:r>
          </w:p>
        </w:tc>
      </w:tr>
      <w:tr w:rsidR="00303994" w14:paraId="43E8681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EDAE6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477676" w14:textId="77777777" w:rsidR="00303994" w:rsidRDefault="00303994" w:rsidP="00F0287B">
            <w:pPr>
              <w:spacing w:before="43" w:after="30" w:line="300" w:lineRule="auto"/>
              <w:ind w:left="55"/>
            </w:pPr>
            <w:proofErr w:type="spellStart"/>
            <w:r>
              <w:rPr>
                <w:b/>
                <w:color w:val="454545"/>
              </w:rPr>
              <w:t>L'Orfebre</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F9861AF" w14:textId="77777777" w:rsidR="00303994" w:rsidRDefault="00303994" w:rsidP="00F0287B">
            <w:pPr>
              <w:spacing w:before="43" w:after="30" w:line="300" w:lineRule="auto"/>
              <w:ind w:left="55"/>
            </w:pPr>
            <w:r>
              <w:rPr>
                <w:b/>
                <w:color w:val="454545"/>
              </w:rPr>
              <w:t>CID002762</w:t>
            </w:r>
          </w:p>
        </w:tc>
      </w:tr>
      <w:tr w:rsidR="00303994" w14:paraId="6D6EC40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5EE1B6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9D876B" w14:textId="77777777" w:rsidR="00303994" w:rsidRDefault="00303994" w:rsidP="00F0287B">
            <w:pPr>
              <w:spacing w:before="43" w:after="30" w:line="300" w:lineRule="auto"/>
              <w:ind w:left="55"/>
            </w:pPr>
            <w:r>
              <w:rPr>
                <w:b/>
                <w:color w:val="454545"/>
              </w:rPr>
              <w:t>LS-NIKKO Copper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86107A2" w14:textId="77777777" w:rsidR="00303994" w:rsidRDefault="00303994" w:rsidP="00F0287B">
            <w:pPr>
              <w:spacing w:before="43" w:after="30" w:line="300" w:lineRule="auto"/>
              <w:ind w:left="55"/>
            </w:pPr>
            <w:r>
              <w:rPr>
                <w:b/>
                <w:color w:val="454545"/>
              </w:rPr>
              <w:t>CID001078</w:t>
            </w:r>
          </w:p>
        </w:tc>
      </w:tr>
      <w:tr w:rsidR="00303994" w14:paraId="3DDA860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D63ACF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3EE7664" w14:textId="77777777" w:rsidR="00303994" w:rsidRDefault="00303994" w:rsidP="00F0287B">
            <w:pPr>
              <w:spacing w:before="43" w:after="30" w:line="300" w:lineRule="auto"/>
              <w:ind w:left="55"/>
            </w:pPr>
            <w:r>
              <w:rPr>
                <w:b/>
                <w:color w:val="454545"/>
              </w:rPr>
              <w:t>LT Metal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E408FD3" w14:textId="77777777" w:rsidR="00303994" w:rsidRDefault="00303994" w:rsidP="00F0287B">
            <w:pPr>
              <w:spacing w:before="43" w:after="30" w:line="300" w:lineRule="auto"/>
              <w:ind w:left="55"/>
            </w:pPr>
            <w:r>
              <w:rPr>
                <w:b/>
                <w:color w:val="454545"/>
              </w:rPr>
              <w:t>CID000689</w:t>
            </w:r>
          </w:p>
        </w:tc>
      </w:tr>
      <w:tr w:rsidR="00303994" w14:paraId="2D5BFA6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35424B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E1245F8" w14:textId="77777777" w:rsidR="00303994" w:rsidRDefault="00303994" w:rsidP="00F0287B">
            <w:pPr>
              <w:spacing w:before="43" w:after="30" w:line="300" w:lineRule="auto"/>
              <w:ind w:left="55"/>
            </w:pPr>
            <w:proofErr w:type="spellStart"/>
            <w:r>
              <w:rPr>
                <w:b/>
                <w:color w:val="454545"/>
              </w:rPr>
              <w:t>Lingbao</w:t>
            </w:r>
            <w:proofErr w:type="spellEnd"/>
            <w:r>
              <w:rPr>
                <w:b/>
                <w:color w:val="454545"/>
              </w:rPr>
              <w:t xml:space="preserve"> Gold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E1316BC" w14:textId="77777777" w:rsidR="00303994" w:rsidRDefault="00303994" w:rsidP="00F0287B">
            <w:pPr>
              <w:spacing w:before="43" w:after="30" w:line="300" w:lineRule="auto"/>
              <w:ind w:left="55"/>
            </w:pPr>
            <w:r>
              <w:rPr>
                <w:b/>
                <w:color w:val="454545"/>
              </w:rPr>
              <w:t>CID001056</w:t>
            </w:r>
          </w:p>
        </w:tc>
      </w:tr>
      <w:tr w:rsidR="00303994" w14:paraId="2E50664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A1D53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7CDD92" w14:textId="77777777" w:rsidR="00303994" w:rsidRDefault="00303994" w:rsidP="00F0287B">
            <w:pPr>
              <w:spacing w:before="43" w:after="30" w:line="300" w:lineRule="auto"/>
              <w:ind w:left="55"/>
            </w:pPr>
            <w:proofErr w:type="spellStart"/>
            <w:r>
              <w:rPr>
                <w:b/>
                <w:color w:val="454545"/>
              </w:rPr>
              <w:t>Lingbao</w:t>
            </w:r>
            <w:proofErr w:type="spellEnd"/>
            <w:r>
              <w:rPr>
                <w:b/>
                <w:color w:val="454545"/>
              </w:rPr>
              <w:t xml:space="preserve"> </w:t>
            </w:r>
            <w:proofErr w:type="spellStart"/>
            <w:r>
              <w:rPr>
                <w:b/>
                <w:color w:val="454545"/>
              </w:rPr>
              <w:t>Jinyuan</w:t>
            </w:r>
            <w:proofErr w:type="spellEnd"/>
            <w:r>
              <w:rPr>
                <w:b/>
                <w:color w:val="454545"/>
              </w:rPr>
              <w:t xml:space="preserve"> Tonghui Refinery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C4CEDEC" w14:textId="77777777" w:rsidR="00303994" w:rsidRDefault="00303994" w:rsidP="00F0287B">
            <w:pPr>
              <w:spacing w:before="43" w:after="30" w:line="300" w:lineRule="auto"/>
              <w:ind w:left="55"/>
            </w:pPr>
            <w:r>
              <w:rPr>
                <w:b/>
                <w:color w:val="454545"/>
              </w:rPr>
              <w:t>CID001058</w:t>
            </w:r>
          </w:p>
        </w:tc>
      </w:tr>
      <w:tr w:rsidR="00303994" w14:paraId="69B184E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D7183A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D42B74" w14:textId="77777777" w:rsidR="00303994" w:rsidRDefault="00303994" w:rsidP="00F0287B">
            <w:pPr>
              <w:spacing w:before="43" w:after="30" w:line="300" w:lineRule="auto"/>
              <w:ind w:left="55"/>
            </w:pPr>
            <w:r>
              <w:rPr>
                <w:b/>
                <w:color w:val="454545"/>
              </w:rPr>
              <w:t xml:space="preserve">Luoyang Zijin </w:t>
            </w:r>
            <w:proofErr w:type="spellStart"/>
            <w:r>
              <w:rPr>
                <w:b/>
                <w:color w:val="454545"/>
              </w:rPr>
              <w:t>Yinhui</w:t>
            </w:r>
            <w:proofErr w:type="spellEnd"/>
            <w:r>
              <w:rPr>
                <w:b/>
                <w:color w:val="454545"/>
              </w:rPr>
              <w:t xml:space="preserve"> Gold Refinery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493EB29" w14:textId="77777777" w:rsidR="00303994" w:rsidRDefault="00303994" w:rsidP="00F0287B">
            <w:pPr>
              <w:spacing w:before="43" w:after="30" w:line="300" w:lineRule="auto"/>
              <w:ind w:left="55"/>
            </w:pPr>
            <w:r>
              <w:rPr>
                <w:b/>
                <w:color w:val="454545"/>
              </w:rPr>
              <w:t>CID001093</w:t>
            </w:r>
          </w:p>
        </w:tc>
      </w:tr>
      <w:tr w:rsidR="00303994" w14:paraId="0D89179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45237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6F060B" w14:textId="77777777" w:rsidR="00303994" w:rsidRDefault="00303994" w:rsidP="00F0287B">
            <w:pPr>
              <w:spacing w:before="43" w:after="30" w:line="300" w:lineRule="auto"/>
              <w:ind w:left="55"/>
            </w:pPr>
            <w:r>
              <w:rPr>
                <w:b/>
                <w:color w:val="454545"/>
              </w:rPr>
              <w:t>MMTC-PAMP India Pvt.,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3479E1A" w14:textId="77777777" w:rsidR="00303994" w:rsidRDefault="00303994" w:rsidP="00F0287B">
            <w:pPr>
              <w:spacing w:before="43" w:after="30" w:line="300" w:lineRule="auto"/>
              <w:ind w:left="55"/>
            </w:pPr>
            <w:r>
              <w:rPr>
                <w:b/>
                <w:color w:val="454545"/>
              </w:rPr>
              <w:t>CID002509</w:t>
            </w:r>
          </w:p>
        </w:tc>
      </w:tr>
      <w:tr w:rsidR="00303994" w14:paraId="43F229C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5A2AD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2B0633" w14:textId="77777777" w:rsidR="00303994" w:rsidRDefault="00303994" w:rsidP="00F0287B">
            <w:pPr>
              <w:spacing w:before="43" w:after="30" w:line="300" w:lineRule="auto"/>
              <w:ind w:left="55"/>
            </w:pPr>
            <w:proofErr w:type="spellStart"/>
            <w:r>
              <w:rPr>
                <w:b/>
                <w:color w:val="454545"/>
              </w:rPr>
              <w:t>Marsam</w:t>
            </w:r>
            <w:proofErr w:type="spellEnd"/>
            <w:r>
              <w:rPr>
                <w:b/>
                <w:color w:val="454545"/>
              </w:rPr>
              <w:t xml:space="preserve">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A99A8EC" w14:textId="77777777" w:rsidR="00303994" w:rsidRDefault="00303994" w:rsidP="00F0287B">
            <w:pPr>
              <w:spacing w:before="43" w:after="30" w:line="300" w:lineRule="auto"/>
              <w:ind w:left="55"/>
            </w:pPr>
            <w:r>
              <w:rPr>
                <w:b/>
                <w:color w:val="454545"/>
              </w:rPr>
              <w:t>CID002606</w:t>
            </w:r>
          </w:p>
        </w:tc>
      </w:tr>
      <w:tr w:rsidR="00303994" w14:paraId="0BB98A6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C3941B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9AA01B" w14:textId="77777777" w:rsidR="00303994" w:rsidRDefault="00303994" w:rsidP="00F0287B">
            <w:pPr>
              <w:spacing w:before="43" w:after="30" w:line="300" w:lineRule="auto"/>
              <w:ind w:left="55"/>
            </w:pPr>
            <w:proofErr w:type="spellStart"/>
            <w:r>
              <w:rPr>
                <w:b/>
                <w:color w:val="454545"/>
              </w:rPr>
              <w:t>Materion</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5FD2677" w14:textId="77777777" w:rsidR="00303994" w:rsidRDefault="00303994" w:rsidP="00F0287B">
            <w:pPr>
              <w:spacing w:before="43" w:after="30" w:line="300" w:lineRule="auto"/>
              <w:ind w:left="55"/>
            </w:pPr>
            <w:r>
              <w:rPr>
                <w:b/>
                <w:color w:val="454545"/>
              </w:rPr>
              <w:t>CID001113</w:t>
            </w:r>
          </w:p>
        </w:tc>
      </w:tr>
      <w:tr w:rsidR="00303994" w14:paraId="4E77B84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7FF964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3348A6A" w14:textId="77777777" w:rsidR="00303994" w:rsidRDefault="00303994" w:rsidP="00F0287B">
            <w:pPr>
              <w:spacing w:before="43" w:after="30" w:line="300" w:lineRule="auto"/>
              <w:ind w:left="55"/>
            </w:pPr>
            <w:r>
              <w:rPr>
                <w:b/>
                <w:color w:val="454545"/>
              </w:rPr>
              <w:t>Matsuda Sangyo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1AEEAF0" w14:textId="77777777" w:rsidR="00303994" w:rsidRDefault="00303994" w:rsidP="00F0287B">
            <w:pPr>
              <w:spacing w:before="43" w:after="30" w:line="300" w:lineRule="auto"/>
              <w:ind w:left="55"/>
            </w:pPr>
            <w:r>
              <w:rPr>
                <w:b/>
                <w:color w:val="454545"/>
              </w:rPr>
              <w:t>CID001119</w:t>
            </w:r>
          </w:p>
        </w:tc>
      </w:tr>
      <w:tr w:rsidR="00303994" w14:paraId="342311A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E5536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5BCBD67" w14:textId="77777777" w:rsidR="00303994" w:rsidRDefault="00303994" w:rsidP="00F0287B">
            <w:pPr>
              <w:spacing w:before="43" w:after="30" w:line="300" w:lineRule="auto"/>
              <w:ind w:left="55"/>
            </w:pPr>
            <w:r>
              <w:rPr>
                <w:b/>
                <w:color w:val="454545"/>
              </w:rPr>
              <w:t>Metal Concentrators SA (Pty)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4BAFA5A" w14:textId="77777777" w:rsidR="00303994" w:rsidRDefault="00303994" w:rsidP="00F0287B">
            <w:pPr>
              <w:spacing w:before="43" w:after="30" w:line="300" w:lineRule="auto"/>
              <w:ind w:left="55"/>
            </w:pPr>
            <w:r>
              <w:rPr>
                <w:b/>
                <w:color w:val="454545"/>
              </w:rPr>
              <w:t>CID003575</w:t>
            </w:r>
          </w:p>
        </w:tc>
      </w:tr>
      <w:tr w:rsidR="00303994" w14:paraId="1E56EE0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06A28E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AF5CCA" w14:textId="77777777" w:rsidR="00303994" w:rsidRDefault="00303994" w:rsidP="00F0287B">
            <w:pPr>
              <w:spacing w:before="43" w:after="30" w:line="300" w:lineRule="auto"/>
              <w:ind w:left="55"/>
            </w:pPr>
            <w:proofErr w:type="spellStart"/>
            <w:r>
              <w:rPr>
                <w:b/>
                <w:color w:val="454545"/>
              </w:rPr>
              <w:t>Metalor</w:t>
            </w:r>
            <w:proofErr w:type="spellEnd"/>
            <w:r>
              <w:rPr>
                <w:b/>
                <w:color w:val="454545"/>
              </w:rPr>
              <w:t xml:space="preserve"> Technologies (Hong Kong)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987806F" w14:textId="77777777" w:rsidR="00303994" w:rsidRDefault="00303994" w:rsidP="00F0287B">
            <w:pPr>
              <w:spacing w:before="43" w:after="30" w:line="300" w:lineRule="auto"/>
              <w:ind w:left="55"/>
            </w:pPr>
            <w:r>
              <w:rPr>
                <w:b/>
                <w:color w:val="454545"/>
              </w:rPr>
              <w:t>CID001149</w:t>
            </w:r>
          </w:p>
        </w:tc>
      </w:tr>
      <w:tr w:rsidR="00303994" w14:paraId="0A4E125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F5616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BA55E83" w14:textId="77777777" w:rsidR="00303994" w:rsidRDefault="00303994" w:rsidP="00F0287B">
            <w:pPr>
              <w:spacing w:before="43" w:after="30" w:line="300" w:lineRule="auto"/>
              <w:ind w:left="55"/>
            </w:pPr>
            <w:proofErr w:type="spellStart"/>
            <w:r>
              <w:rPr>
                <w:b/>
                <w:color w:val="454545"/>
              </w:rPr>
              <w:t>Metalor</w:t>
            </w:r>
            <w:proofErr w:type="spellEnd"/>
            <w:r>
              <w:rPr>
                <w:b/>
                <w:color w:val="454545"/>
              </w:rPr>
              <w:t xml:space="preserve"> Technologies (Singapore) Pte.,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227C219" w14:textId="77777777" w:rsidR="00303994" w:rsidRDefault="00303994" w:rsidP="00F0287B">
            <w:pPr>
              <w:spacing w:before="43" w:after="30" w:line="300" w:lineRule="auto"/>
              <w:ind w:left="55"/>
            </w:pPr>
            <w:r>
              <w:rPr>
                <w:b/>
                <w:color w:val="454545"/>
              </w:rPr>
              <w:t>CID001152</w:t>
            </w:r>
          </w:p>
        </w:tc>
      </w:tr>
      <w:tr w:rsidR="00303994" w14:paraId="322ADA4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21BA7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8FA550B" w14:textId="77777777" w:rsidR="00303994" w:rsidRDefault="00303994" w:rsidP="00F0287B">
            <w:pPr>
              <w:spacing w:before="43" w:after="30" w:line="300" w:lineRule="auto"/>
              <w:ind w:left="55"/>
            </w:pPr>
            <w:proofErr w:type="spellStart"/>
            <w:r>
              <w:rPr>
                <w:b/>
                <w:color w:val="454545"/>
              </w:rPr>
              <w:t>Metalor</w:t>
            </w:r>
            <w:proofErr w:type="spellEnd"/>
            <w:r>
              <w:rPr>
                <w:b/>
                <w:color w:val="454545"/>
              </w:rPr>
              <w:t xml:space="preserve"> Technologies (Suzhou)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69D78AA" w14:textId="77777777" w:rsidR="00303994" w:rsidRDefault="00303994" w:rsidP="00F0287B">
            <w:pPr>
              <w:spacing w:before="43" w:after="30" w:line="300" w:lineRule="auto"/>
              <w:ind w:left="55"/>
            </w:pPr>
            <w:r>
              <w:rPr>
                <w:b/>
                <w:color w:val="454545"/>
              </w:rPr>
              <w:t>CID001147</w:t>
            </w:r>
          </w:p>
        </w:tc>
      </w:tr>
      <w:tr w:rsidR="00303994" w14:paraId="76A6DF5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1051C2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C14F043" w14:textId="77777777" w:rsidR="00303994" w:rsidRDefault="00303994" w:rsidP="00F0287B">
            <w:pPr>
              <w:spacing w:before="43" w:after="30" w:line="300" w:lineRule="auto"/>
              <w:ind w:left="55"/>
            </w:pPr>
            <w:proofErr w:type="spellStart"/>
            <w:r>
              <w:rPr>
                <w:b/>
                <w:color w:val="454545"/>
              </w:rPr>
              <w:t>Metalor</w:t>
            </w:r>
            <w:proofErr w:type="spellEnd"/>
            <w:r>
              <w:rPr>
                <w:b/>
                <w:color w:val="454545"/>
              </w:rPr>
              <w:t xml:space="preserve"> Technologies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A51FEC0" w14:textId="77777777" w:rsidR="00303994" w:rsidRDefault="00303994" w:rsidP="00F0287B">
            <w:pPr>
              <w:spacing w:before="43" w:after="30" w:line="300" w:lineRule="auto"/>
              <w:ind w:left="55"/>
            </w:pPr>
            <w:r>
              <w:rPr>
                <w:b/>
                <w:color w:val="454545"/>
              </w:rPr>
              <w:t>CID001153</w:t>
            </w:r>
          </w:p>
        </w:tc>
      </w:tr>
      <w:tr w:rsidR="00303994" w14:paraId="1378F61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AD40E4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433F695" w14:textId="77777777" w:rsidR="00303994" w:rsidRDefault="00303994" w:rsidP="00F0287B">
            <w:pPr>
              <w:spacing w:before="43" w:after="30" w:line="300" w:lineRule="auto"/>
              <w:ind w:left="55"/>
            </w:pPr>
            <w:proofErr w:type="spellStart"/>
            <w:r>
              <w:rPr>
                <w:b/>
                <w:color w:val="454545"/>
              </w:rPr>
              <w:t>Metalor</w:t>
            </w:r>
            <w:proofErr w:type="spellEnd"/>
            <w:r>
              <w:rPr>
                <w:b/>
                <w:color w:val="454545"/>
              </w:rPr>
              <w:t xml:space="preserve"> USA Refining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8878EAA" w14:textId="77777777" w:rsidR="00303994" w:rsidRDefault="00303994" w:rsidP="00F0287B">
            <w:pPr>
              <w:spacing w:before="43" w:after="30" w:line="300" w:lineRule="auto"/>
              <w:ind w:left="55"/>
            </w:pPr>
            <w:r>
              <w:rPr>
                <w:b/>
                <w:color w:val="454545"/>
              </w:rPr>
              <w:t>CID001157</w:t>
            </w:r>
          </w:p>
        </w:tc>
      </w:tr>
      <w:tr w:rsidR="00303994" w14:paraId="5694123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2866EA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4FFEBF" w14:textId="77777777" w:rsidR="00303994" w:rsidRDefault="00303994" w:rsidP="00F0287B">
            <w:pPr>
              <w:spacing w:before="43" w:after="30" w:line="300" w:lineRule="auto"/>
              <w:ind w:left="55"/>
            </w:pPr>
            <w:proofErr w:type="spellStart"/>
            <w:r>
              <w:rPr>
                <w:b/>
                <w:color w:val="454545"/>
              </w:rPr>
              <w:t>Metalurgica</w:t>
            </w:r>
            <w:proofErr w:type="spellEnd"/>
            <w:r>
              <w:rPr>
                <w:b/>
                <w:color w:val="454545"/>
              </w:rPr>
              <w:t xml:space="preserve"> Met-Mex </w:t>
            </w:r>
            <w:proofErr w:type="spellStart"/>
            <w:r>
              <w:rPr>
                <w:b/>
                <w:color w:val="454545"/>
              </w:rPr>
              <w:t>Penoles</w:t>
            </w:r>
            <w:proofErr w:type="spellEnd"/>
            <w:r>
              <w:rPr>
                <w:b/>
                <w:color w:val="454545"/>
              </w:rPr>
              <w:t xml:space="preserve"> S.A. De C.V.**</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9ECA574" w14:textId="77777777" w:rsidR="00303994" w:rsidRDefault="00303994" w:rsidP="00F0287B">
            <w:pPr>
              <w:spacing w:before="43" w:after="30" w:line="300" w:lineRule="auto"/>
              <w:ind w:left="55"/>
            </w:pPr>
            <w:r>
              <w:rPr>
                <w:b/>
                <w:color w:val="454545"/>
              </w:rPr>
              <w:t>CID001161</w:t>
            </w:r>
          </w:p>
        </w:tc>
      </w:tr>
      <w:tr w:rsidR="00303994" w14:paraId="53F9ADE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98C390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7481FB" w14:textId="77777777" w:rsidR="00303994" w:rsidRDefault="00303994" w:rsidP="00F0287B">
            <w:pPr>
              <w:spacing w:before="43" w:after="30" w:line="300" w:lineRule="auto"/>
              <w:ind w:left="55"/>
            </w:pPr>
            <w:r>
              <w:rPr>
                <w:b/>
                <w:color w:val="454545"/>
              </w:rPr>
              <w:t>Mitsubishi Materials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7AB5C1E" w14:textId="77777777" w:rsidR="00303994" w:rsidRDefault="00303994" w:rsidP="00F0287B">
            <w:pPr>
              <w:spacing w:before="43" w:after="30" w:line="300" w:lineRule="auto"/>
              <w:ind w:left="55"/>
            </w:pPr>
            <w:r>
              <w:rPr>
                <w:b/>
                <w:color w:val="454545"/>
              </w:rPr>
              <w:t>CID001188</w:t>
            </w:r>
          </w:p>
        </w:tc>
      </w:tr>
      <w:tr w:rsidR="00303994" w14:paraId="75E5607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C909FC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4E659E" w14:textId="77777777" w:rsidR="00303994" w:rsidRDefault="00303994" w:rsidP="00F0287B">
            <w:pPr>
              <w:spacing w:before="43" w:after="30" w:line="300" w:lineRule="auto"/>
              <w:ind w:left="55"/>
            </w:pPr>
            <w:r>
              <w:rPr>
                <w:b/>
                <w:color w:val="454545"/>
              </w:rPr>
              <w:t>Mitsui Mining and Smelting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19D2D73" w14:textId="77777777" w:rsidR="00303994" w:rsidRDefault="00303994" w:rsidP="00F0287B">
            <w:pPr>
              <w:spacing w:before="43" w:after="30" w:line="300" w:lineRule="auto"/>
              <w:ind w:left="55"/>
            </w:pPr>
            <w:r>
              <w:rPr>
                <w:b/>
                <w:color w:val="454545"/>
              </w:rPr>
              <w:t>CID001193</w:t>
            </w:r>
          </w:p>
        </w:tc>
      </w:tr>
      <w:tr w:rsidR="00303994" w14:paraId="2C6F78C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B22D8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D88DFAA" w14:textId="77777777" w:rsidR="00303994" w:rsidRDefault="00303994" w:rsidP="00F0287B">
            <w:pPr>
              <w:spacing w:before="43" w:after="30" w:line="300" w:lineRule="auto"/>
              <w:ind w:left="55"/>
            </w:pPr>
            <w:r>
              <w:rPr>
                <w:b/>
                <w:color w:val="454545"/>
              </w:rPr>
              <w:t>Morris and Watson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6F97E50" w14:textId="77777777" w:rsidR="00303994" w:rsidRDefault="00303994" w:rsidP="00F0287B">
            <w:pPr>
              <w:spacing w:before="43" w:after="30" w:line="300" w:lineRule="auto"/>
              <w:ind w:left="55"/>
            </w:pPr>
            <w:r>
              <w:rPr>
                <w:b/>
                <w:color w:val="454545"/>
              </w:rPr>
              <w:t>CID002282</w:t>
            </w:r>
          </w:p>
        </w:tc>
      </w:tr>
      <w:tr w:rsidR="00303994" w14:paraId="0D1ED86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B7999E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12E9F3" w14:textId="77777777" w:rsidR="00303994" w:rsidRDefault="00303994" w:rsidP="00F0287B">
            <w:pPr>
              <w:spacing w:before="43" w:after="30" w:line="300" w:lineRule="auto"/>
              <w:ind w:left="55"/>
            </w:pPr>
            <w:r>
              <w:rPr>
                <w:b/>
                <w:color w:val="454545"/>
              </w:rPr>
              <w:t>Moscow Special Alloys Processing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A5C261" w14:textId="77777777" w:rsidR="00303994" w:rsidRDefault="00303994" w:rsidP="00F0287B">
            <w:pPr>
              <w:spacing w:before="43" w:after="30" w:line="300" w:lineRule="auto"/>
              <w:ind w:left="55"/>
            </w:pPr>
            <w:r>
              <w:rPr>
                <w:b/>
                <w:color w:val="454545"/>
              </w:rPr>
              <w:t>CID001204</w:t>
            </w:r>
          </w:p>
        </w:tc>
      </w:tr>
      <w:tr w:rsidR="00303994" w14:paraId="33088F0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61E1F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D26405C" w14:textId="77777777" w:rsidR="00303994" w:rsidRDefault="00303994" w:rsidP="00F0287B">
            <w:pPr>
              <w:spacing w:before="43" w:after="30" w:line="300" w:lineRule="auto"/>
              <w:ind w:left="55"/>
            </w:pPr>
            <w:r>
              <w:rPr>
                <w:b/>
                <w:color w:val="454545"/>
              </w:rPr>
              <w:t xml:space="preserve">Nadir Metal </w:t>
            </w:r>
            <w:proofErr w:type="spellStart"/>
            <w:r>
              <w:rPr>
                <w:b/>
                <w:color w:val="454545"/>
              </w:rPr>
              <w:t>Rafineri</w:t>
            </w:r>
            <w:proofErr w:type="spellEnd"/>
            <w:r>
              <w:rPr>
                <w:b/>
                <w:color w:val="454545"/>
              </w:rPr>
              <w:t xml:space="preserve"> San. </w:t>
            </w:r>
            <w:proofErr w:type="spellStart"/>
            <w:r>
              <w:rPr>
                <w:b/>
                <w:color w:val="454545"/>
              </w:rPr>
              <w:t>Ve</w:t>
            </w:r>
            <w:proofErr w:type="spellEnd"/>
            <w:r>
              <w:rPr>
                <w:b/>
                <w:color w:val="454545"/>
              </w:rPr>
              <w:t xml:space="preserve"> Tic. A.S.**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F7FC07F" w14:textId="77777777" w:rsidR="00303994" w:rsidRDefault="00303994" w:rsidP="00F0287B">
            <w:pPr>
              <w:spacing w:before="43" w:after="30" w:line="300" w:lineRule="auto"/>
              <w:ind w:left="55"/>
            </w:pPr>
            <w:r>
              <w:rPr>
                <w:b/>
                <w:color w:val="454545"/>
              </w:rPr>
              <w:t>CID001220</w:t>
            </w:r>
          </w:p>
        </w:tc>
      </w:tr>
      <w:tr w:rsidR="00303994" w14:paraId="62D7497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A638636"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720A5D4" w14:textId="77777777" w:rsidR="00303994" w:rsidRDefault="00303994" w:rsidP="00F0287B">
            <w:pPr>
              <w:spacing w:before="43" w:after="30" w:line="300" w:lineRule="auto"/>
              <w:ind w:left="55"/>
            </w:pPr>
            <w:proofErr w:type="spellStart"/>
            <w:r>
              <w:rPr>
                <w:b/>
                <w:color w:val="454545"/>
              </w:rPr>
              <w:t>Navoi</w:t>
            </w:r>
            <w:proofErr w:type="spellEnd"/>
            <w:r>
              <w:rPr>
                <w:b/>
                <w:color w:val="454545"/>
              </w:rPr>
              <w:t xml:space="preserve"> Mining and Metallurgical </w:t>
            </w:r>
            <w:proofErr w:type="spellStart"/>
            <w:r>
              <w:rPr>
                <w:b/>
                <w:color w:val="454545"/>
              </w:rPr>
              <w:t>Combinat</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A867230" w14:textId="77777777" w:rsidR="00303994" w:rsidRDefault="00303994" w:rsidP="00F0287B">
            <w:pPr>
              <w:spacing w:before="43" w:after="30" w:line="300" w:lineRule="auto"/>
              <w:ind w:left="55"/>
            </w:pPr>
            <w:r>
              <w:rPr>
                <w:b/>
                <w:color w:val="454545"/>
              </w:rPr>
              <w:t>CID001236</w:t>
            </w:r>
          </w:p>
        </w:tc>
      </w:tr>
      <w:tr w:rsidR="00303994" w14:paraId="513E77C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829621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A61294" w14:textId="77777777" w:rsidR="00303994" w:rsidRDefault="00303994" w:rsidP="00F0287B">
            <w:pPr>
              <w:spacing w:before="43" w:after="30" w:line="300" w:lineRule="auto"/>
              <w:ind w:left="55"/>
            </w:pPr>
            <w:r>
              <w:rPr>
                <w:b/>
                <w:color w:val="454545"/>
              </w:rPr>
              <w:t>Nihon Material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C23B75F" w14:textId="77777777" w:rsidR="00303994" w:rsidRDefault="00303994" w:rsidP="00F0287B">
            <w:pPr>
              <w:spacing w:before="43" w:after="30" w:line="300" w:lineRule="auto"/>
              <w:ind w:left="55"/>
            </w:pPr>
            <w:r>
              <w:rPr>
                <w:b/>
                <w:color w:val="454545"/>
              </w:rPr>
              <w:t>CID001259</w:t>
            </w:r>
          </w:p>
        </w:tc>
      </w:tr>
      <w:tr w:rsidR="00303994" w14:paraId="14E54E5A"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86C77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9F11D3" w14:textId="77777777" w:rsidR="00303994" w:rsidRDefault="00303994" w:rsidP="00F0287B">
            <w:pPr>
              <w:spacing w:before="43" w:after="30" w:line="300" w:lineRule="auto"/>
              <w:ind w:left="55"/>
            </w:pPr>
            <w:r>
              <w:rPr>
                <w:b/>
                <w:color w:val="454545"/>
              </w:rPr>
              <w:t xml:space="preserve">OJSC "The </w:t>
            </w:r>
            <w:proofErr w:type="spellStart"/>
            <w:r>
              <w:rPr>
                <w:b/>
                <w:color w:val="454545"/>
              </w:rPr>
              <w:t>Gulidov</w:t>
            </w:r>
            <w:proofErr w:type="spellEnd"/>
            <w:r>
              <w:rPr>
                <w:b/>
                <w:color w:val="454545"/>
              </w:rPr>
              <w:t xml:space="preserve"> Krasnoyarsk Non-Ferrous Metals Plant" (OJSC </w:t>
            </w:r>
            <w:proofErr w:type="spellStart"/>
            <w:r>
              <w:rPr>
                <w:b/>
                <w:color w:val="454545"/>
              </w:rPr>
              <w:t>Krastsvetmet</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E7B8D36" w14:textId="77777777" w:rsidR="00303994" w:rsidRDefault="00303994" w:rsidP="00F0287B">
            <w:pPr>
              <w:spacing w:before="43" w:after="30" w:line="300" w:lineRule="auto"/>
              <w:ind w:left="55"/>
            </w:pPr>
            <w:r>
              <w:rPr>
                <w:b/>
                <w:color w:val="454545"/>
              </w:rPr>
              <w:t>CID001326</w:t>
            </w:r>
          </w:p>
        </w:tc>
      </w:tr>
      <w:tr w:rsidR="00303994" w14:paraId="522CA55F"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FB7E6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2C251B" w14:textId="77777777" w:rsidR="00303994" w:rsidRDefault="00303994" w:rsidP="00F0287B">
            <w:pPr>
              <w:spacing w:before="43" w:after="30" w:line="300" w:lineRule="auto"/>
              <w:ind w:left="55"/>
            </w:pPr>
            <w:proofErr w:type="spellStart"/>
            <w:r>
              <w:rPr>
                <w:b/>
                <w:color w:val="454545"/>
              </w:rPr>
              <w:t>Ogussa</w:t>
            </w:r>
            <w:proofErr w:type="spellEnd"/>
            <w:r>
              <w:rPr>
                <w:b/>
                <w:color w:val="454545"/>
              </w:rPr>
              <w:t xml:space="preserve"> </w:t>
            </w:r>
            <w:proofErr w:type="spellStart"/>
            <w:r>
              <w:rPr>
                <w:b/>
                <w:color w:val="454545"/>
              </w:rPr>
              <w:t>Osterreichische</w:t>
            </w:r>
            <w:proofErr w:type="spellEnd"/>
            <w:r>
              <w:rPr>
                <w:b/>
                <w:color w:val="454545"/>
              </w:rPr>
              <w:t xml:space="preserve"> Gold- und Silber-</w:t>
            </w:r>
            <w:proofErr w:type="spellStart"/>
            <w:r>
              <w:rPr>
                <w:b/>
                <w:color w:val="454545"/>
              </w:rPr>
              <w:t>Scheideanstalt</w:t>
            </w:r>
            <w:proofErr w:type="spellEnd"/>
            <w:r>
              <w:rPr>
                <w:b/>
                <w:color w:val="454545"/>
              </w:rPr>
              <w:t xml:space="preserve">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A985CCB" w14:textId="77777777" w:rsidR="00303994" w:rsidRDefault="00303994" w:rsidP="00F0287B">
            <w:pPr>
              <w:spacing w:before="43" w:after="30" w:line="300" w:lineRule="auto"/>
              <w:ind w:left="55"/>
            </w:pPr>
            <w:r>
              <w:rPr>
                <w:b/>
                <w:color w:val="454545"/>
              </w:rPr>
              <w:t>CID002779</w:t>
            </w:r>
          </w:p>
        </w:tc>
      </w:tr>
      <w:tr w:rsidR="00303994" w14:paraId="079B830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D10E3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1C4D79" w14:textId="77777777" w:rsidR="00303994" w:rsidRDefault="00303994" w:rsidP="00F0287B">
            <w:pPr>
              <w:spacing w:before="43" w:after="30" w:line="300" w:lineRule="auto"/>
              <w:ind w:left="55"/>
            </w:pPr>
            <w:r>
              <w:rPr>
                <w:b/>
                <w:color w:val="454545"/>
              </w:rPr>
              <w:t>Ohura Precious Metal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8D4D27B" w14:textId="77777777" w:rsidR="00303994" w:rsidRDefault="00303994" w:rsidP="00F0287B">
            <w:pPr>
              <w:spacing w:before="43" w:after="30" w:line="300" w:lineRule="auto"/>
              <w:ind w:left="55"/>
            </w:pPr>
            <w:r>
              <w:rPr>
                <w:b/>
                <w:color w:val="454545"/>
              </w:rPr>
              <w:t>CID001325</w:t>
            </w:r>
          </w:p>
        </w:tc>
      </w:tr>
      <w:tr w:rsidR="00303994" w14:paraId="3602728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FDEB1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F31E6B7" w14:textId="77777777" w:rsidR="00303994" w:rsidRDefault="00303994" w:rsidP="00F0287B">
            <w:pPr>
              <w:spacing w:before="43" w:after="30" w:line="300" w:lineRule="auto"/>
              <w:ind w:left="55"/>
            </w:pPr>
            <w:r>
              <w:rPr>
                <w:b/>
                <w:color w:val="454545"/>
              </w:rPr>
              <w:t>PAMP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86CEE64" w14:textId="77777777" w:rsidR="00303994" w:rsidRDefault="00303994" w:rsidP="00F0287B">
            <w:pPr>
              <w:spacing w:before="43" w:after="30" w:line="300" w:lineRule="auto"/>
              <w:ind w:left="55"/>
            </w:pPr>
            <w:r>
              <w:rPr>
                <w:b/>
                <w:color w:val="454545"/>
              </w:rPr>
              <w:t>CID001352</w:t>
            </w:r>
          </w:p>
        </w:tc>
      </w:tr>
      <w:tr w:rsidR="00303994" w14:paraId="096887BC"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6F09D1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C6E1A8" w14:textId="77777777" w:rsidR="00303994" w:rsidRDefault="00303994" w:rsidP="00F0287B">
            <w:pPr>
              <w:spacing w:before="43" w:after="30" w:line="300" w:lineRule="auto"/>
              <w:ind w:left="55"/>
            </w:pPr>
            <w:r>
              <w:rPr>
                <w:b/>
                <w:color w:val="454545"/>
              </w:rPr>
              <w:t xml:space="preserve">PT Aneka Tambang (Persero) </w:t>
            </w:r>
            <w:proofErr w:type="spellStart"/>
            <w:r>
              <w:rPr>
                <w:b/>
                <w:color w:val="454545"/>
              </w:rPr>
              <w:t>Tbk</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3CBB842" w14:textId="77777777" w:rsidR="00303994" w:rsidRDefault="00303994" w:rsidP="00F0287B">
            <w:pPr>
              <w:spacing w:before="43" w:after="30" w:line="300" w:lineRule="auto"/>
              <w:ind w:left="55"/>
            </w:pPr>
            <w:r>
              <w:rPr>
                <w:b/>
                <w:color w:val="454545"/>
              </w:rPr>
              <w:t>CID001397</w:t>
            </w:r>
          </w:p>
        </w:tc>
      </w:tr>
      <w:tr w:rsidR="00303994" w14:paraId="3F7F8BF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A2BDCE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FC6B787" w14:textId="77777777" w:rsidR="00303994" w:rsidRDefault="00303994" w:rsidP="00F0287B">
            <w:pPr>
              <w:spacing w:before="43" w:after="30" w:line="300" w:lineRule="auto"/>
              <w:ind w:left="55"/>
            </w:pPr>
            <w:r>
              <w:rPr>
                <w:b/>
                <w:color w:val="454545"/>
              </w:rPr>
              <w:t xml:space="preserve">PX </w:t>
            </w:r>
            <w:proofErr w:type="spellStart"/>
            <w:r>
              <w:rPr>
                <w:b/>
                <w:color w:val="454545"/>
              </w:rPr>
              <w:t>Precinox</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57B8A91" w14:textId="77777777" w:rsidR="00303994" w:rsidRDefault="00303994" w:rsidP="00F0287B">
            <w:pPr>
              <w:spacing w:before="43" w:after="30" w:line="300" w:lineRule="auto"/>
              <w:ind w:left="55"/>
            </w:pPr>
            <w:r>
              <w:rPr>
                <w:b/>
                <w:color w:val="454545"/>
              </w:rPr>
              <w:t>CID001498</w:t>
            </w:r>
          </w:p>
        </w:tc>
      </w:tr>
      <w:tr w:rsidR="00303994" w14:paraId="17A992E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B290116"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F1B5C9F" w14:textId="77777777" w:rsidR="00303994" w:rsidRDefault="00303994" w:rsidP="00F0287B">
            <w:pPr>
              <w:spacing w:before="43" w:after="30" w:line="300" w:lineRule="auto"/>
              <w:ind w:left="55"/>
            </w:pPr>
            <w:r>
              <w:rPr>
                <w:b/>
                <w:color w:val="454545"/>
              </w:rPr>
              <w:t xml:space="preserve">Penglai </w:t>
            </w:r>
            <w:proofErr w:type="spellStart"/>
            <w:r>
              <w:rPr>
                <w:b/>
                <w:color w:val="454545"/>
              </w:rPr>
              <w:t>Penggang</w:t>
            </w:r>
            <w:proofErr w:type="spellEnd"/>
            <w:r>
              <w:rPr>
                <w:b/>
                <w:color w:val="454545"/>
              </w:rPr>
              <w:t xml:space="preserve"> Gold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7BCF902" w14:textId="77777777" w:rsidR="00303994" w:rsidRDefault="00303994" w:rsidP="00F0287B">
            <w:pPr>
              <w:spacing w:before="43" w:after="30" w:line="300" w:lineRule="auto"/>
              <w:ind w:left="55"/>
            </w:pPr>
            <w:r>
              <w:rPr>
                <w:b/>
                <w:color w:val="454545"/>
              </w:rPr>
              <w:t>CID001362</w:t>
            </w:r>
          </w:p>
        </w:tc>
      </w:tr>
      <w:tr w:rsidR="00303994" w14:paraId="0122104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746A5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20C368" w14:textId="77777777" w:rsidR="00303994" w:rsidRDefault="00303994" w:rsidP="00F0287B">
            <w:pPr>
              <w:spacing w:before="43" w:after="30" w:line="300" w:lineRule="auto"/>
              <w:ind w:left="55"/>
            </w:pPr>
            <w:r>
              <w:rPr>
                <w:b/>
                <w:color w:val="454545"/>
              </w:rPr>
              <w:t xml:space="preserve">Planta </w:t>
            </w:r>
            <w:proofErr w:type="spellStart"/>
            <w:r>
              <w:rPr>
                <w:b/>
                <w:color w:val="454545"/>
              </w:rPr>
              <w:t>Recuperadora</w:t>
            </w:r>
            <w:proofErr w:type="spellEnd"/>
            <w:r>
              <w:rPr>
                <w:b/>
                <w:color w:val="454545"/>
              </w:rPr>
              <w:t xml:space="preserve"> de </w:t>
            </w:r>
            <w:proofErr w:type="spellStart"/>
            <w:r>
              <w:rPr>
                <w:b/>
                <w:color w:val="454545"/>
              </w:rPr>
              <w:t>Metales</w:t>
            </w:r>
            <w:proofErr w:type="spellEnd"/>
            <w:r>
              <w:rPr>
                <w:b/>
                <w:color w:val="454545"/>
              </w:rPr>
              <w:t xml:space="preserve"> </w:t>
            </w:r>
            <w:proofErr w:type="spellStart"/>
            <w:r>
              <w:rPr>
                <w:b/>
                <w:color w:val="454545"/>
              </w:rPr>
              <w:t>SpA</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3F535E9" w14:textId="77777777" w:rsidR="00303994" w:rsidRDefault="00303994" w:rsidP="00F0287B">
            <w:pPr>
              <w:spacing w:before="43" w:after="30" w:line="300" w:lineRule="auto"/>
              <w:ind w:left="55"/>
            </w:pPr>
            <w:r>
              <w:rPr>
                <w:b/>
                <w:color w:val="454545"/>
              </w:rPr>
              <w:t>CID002919</w:t>
            </w:r>
          </w:p>
        </w:tc>
      </w:tr>
      <w:tr w:rsidR="00303994" w14:paraId="07020E2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2D7251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2B6F77D" w14:textId="77777777" w:rsidR="00303994" w:rsidRDefault="00303994" w:rsidP="00F0287B">
            <w:pPr>
              <w:spacing w:before="43" w:after="30" w:line="300" w:lineRule="auto"/>
              <w:ind w:left="55"/>
            </w:pPr>
            <w:proofErr w:type="spellStart"/>
            <w:r>
              <w:rPr>
                <w:b/>
                <w:color w:val="454545"/>
              </w:rPr>
              <w:t>Prioksky</w:t>
            </w:r>
            <w:proofErr w:type="spellEnd"/>
            <w:r>
              <w:rPr>
                <w:b/>
                <w:color w:val="454545"/>
              </w:rPr>
              <w:t xml:space="preserve"> Plant of Non-Ferrous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0415FB9" w14:textId="77777777" w:rsidR="00303994" w:rsidRDefault="00303994" w:rsidP="00F0287B">
            <w:pPr>
              <w:spacing w:before="43" w:after="30" w:line="300" w:lineRule="auto"/>
              <w:ind w:left="55"/>
            </w:pPr>
            <w:r>
              <w:rPr>
                <w:b/>
                <w:color w:val="454545"/>
              </w:rPr>
              <w:t>CID001386</w:t>
            </w:r>
          </w:p>
        </w:tc>
      </w:tr>
      <w:tr w:rsidR="00303994" w14:paraId="5F6ECCC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E6C99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4D149C6" w14:textId="77777777" w:rsidR="00303994" w:rsidRDefault="00303994" w:rsidP="00F0287B">
            <w:pPr>
              <w:spacing w:before="43" w:after="30" w:line="300" w:lineRule="auto"/>
              <w:ind w:left="55"/>
            </w:pPr>
            <w:r>
              <w:rPr>
                <w:b/>
                <w:color w:val="454545"/>
              </w:rPr>
              <w:t>REMONDIS PMR B.V.**</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C08248A" w14:textId="77777777" w:rsidR="00303994" w:rsidRDefault="00303994" w:rsidP="00F0287B">
            <w:pPr>
              <w:spacing w:before="43" w:after="30" w:line="300" w:lineRule="auto"/>
              <w:ind w:left="55"/>
            </w:pPr>
            <w:r>
              <w:rPr>
                <w:b/>
                <w:color w:val="454545"/>
              </w:rPr>
              <w:t>CID002582</w:t>
            </w:r>
          </w:p>
        </w:tc>
      </w:tr>
      <w:tr w:rsidR="00303994" w14:paraId="3F9F219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B1BD1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AFDEF2" w14:textId="77777777" w:rsidR="00303994" w:rsidRDefault="00303994" w:rsidP="00F0287B">
            <w:pPr>
              <w:spacing w:before="43" w:after="30" w:line="300" w:lineRule="auto"/>
              <w:ind w:left="55"/>
            </w:pPr>
            <w:r>
              <w:rPr>
                <w:b/>
                <w:color w:val="454545"/>
              </w:rPr>
              <w:t>Rand Refinery (Pty)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7089740" w14:textId="77777777" w:rsidR="00303994" w:rsidRDefault="00303994" w:rsidP="00F0287B">
            <w:pPr>
              <w:spacing w:before="43" w:after="30" w:line="300" w:lineRule="auto"/>
              <w:ind w:left="55"/>
            </w:pPr>
            <w:r>
              <w:rPr>
                <w:b/>
                <w:color w:val="454545"/>
              </w:rPr>
              <w:t>CID001512</w:t>
            </w:r>
          </w:p>
        </w:tc>
      </w:tr>
      <w:tr w:rsidR="00303994" w14:paraId="3121AC4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D9095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48BDED" w14:textId="77777777" w:rsidR="00303994" w:rsidRDefault="00303994" w:rsidP="00F0287B">
            <w:pPr>
              <w:spacing w:before="43" w:after="30" w:line="300" w:lineRule="auto"/>
              <w:ind w:left="55"/>
            </w:pPr>
            <w:r>
              <w:rPr>
                <w:b/>
                <w:color w:val="454545"/>
              </w:rPr>
              <w:t xml:space="preserve">Refinery of </w:t>
            </w:r>
            <w:proofErr w:type="spellStart"/>
            <w:r>
              <w:rPr>
                <w:b/>
                <w:color w:val="454545"/>
              </w:rPr>
              <w:t>Seemine</w:t>
            </w:r>
            <w:proofErr w:type="spellEnd"/>
            <w:r>
              <w:rPr>
                <w:b/>
                <w:color w:val="454545"/>
              </w:rPr>
              <w:t xml:space="preserve"> Gold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4AB0D16" w14:textId="77777777" w:rsidR="00303994" w:rsidRDefault="00303994" w:rsidP="00F0287B">
            <w:pPr>
              <w:spacing w:before="43" w:after="30" w:line="300" w:lineRule="auto"/>
              <w:ind w:left="55"/>
            </w:pPr>
            <w:r>
              <w:rPr>
                <w:b/>
                <w:color w:val="454545"/>
              </w:rPr>
              <w:t>CID000522</w:t>
            </w:r>
          </w:p>
        </w:tc>
      </w:tr>
      <w:tr w:rsidR="00303994" w14:paraId="20B0CF4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3DA1A5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1318EEB" w14:textId="77777777" w:rsidR="00303994" w:rsidRDefault="00303994" w:rsidP="00F0287B">
            <w:pPr>
              <w:spacing w:before="43" w:after="30" w:line="300" w:lineRule="auto"/>
              <w:ind w:left="55"/>
            </w:pPr>
            <w:r>
              <w:rPr>
                <w:b/>
                <w:color w:val="454545"/>
              </w:rPr>
              <w:t>Royal Canadian Mint**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544850B" w14:textId="77777777" w:rsidR="00303994" w:rsidRDefault="00303994" w:rsidP="00F0287B">
            <w:pPr>
              <w:spacing w:before="43" w:after="30" w:line="300" w:lineRule="auto"/>
              <w:ind w:left="55"/>
            </w:pPr>
            <w:r>
              <w:rPr>
                <w:b/>
                <w:color w:val="454545"/>
              </w:rPr>
              <w:t>CID001534</w:t>
            </w:r>
          </w:p>
        </w:tc>
      </w:tr>
      <w:tr w:rsidR="00303994" w14:paraId="7F433CB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0C162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B9D331" w14:textId="77777777" w:rsidR="00303994" w:rsidRDefault="00303994" w:rsidP="00F0287B">
            <w:pPr>
              <w:spacing w:before="43" w:after="30" w:line="300" w:lineRule="auto"/>
              <w:ind w:left="55"/>
            </w:pPr>
            <w:r>
              <w:rPr>
                <w:b/>
                <w:color w:val="454545"/>
              </w:rPr>
              <w:t>SAAMP**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FE7EB85" w14:textId="77777777" w:rsidR="00303994" w:rsidRDefault="00303994" w:rsidP="00F0287B">
            <w:pPr>
              <w:spacing w:before="43" w:after="30" w:line="300" w:lineRule="auto"/>
              <w:ind w:left="55"/>
            </w:pPr>
            <w:r>
              <w:rPr>
                <w:b/>
                <w:color w:val="454545"/>
              </w:rPr>
              <w:t>CID002761</w:t>
            </w:r>
          </w:p>
        </w:tc>
      </w:tr>
      <w:tr w:rsidR="00303994" w14:paraId="2A6D62B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17DD60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88D3BC" w14:textId="77777777" w:rsidR="00303994" w:rsidRDefault="00303994" w:rsidP="00F0287B">
            <w:pPr>
              <w:spacing w:before="43" w:after="30" w:line="300" w:lineRule="auto"/>
              <w:ind w:left="55"/>
            </w:pPr>
            <w:r>
              <w:rPr>
                <w:b/>
                <w:color w:val="454545"/>
              </w:rPr>
              <w:t>SAFINA A.S.**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32FC38B" w14:textId="77777777" w:rsidR="00303994" w:rsidRDefault="00303994" w:rsidP="00F0287B">
            <w:pPr>
              <w:spacing w:before="43" w:after="30" w:line="300" w:lineRule="auto"/>
              <w:ind w:left="55"/>
            </w:pPr>
            <w:r>
              <w:rPr>
                <w:b/>
                <w:color w:val="454545"/>
              </w:rPr>
              <w:t>CID002290</w:t>
            </w:r>
          </w:p>
        </w:tc>
      </w:tr>
      <w:tr w:rsidR="00303994" w14:paraId="43DF176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17101A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59A1EA" w14:textId="77777777" w:rsidR="00303994" w:rsidRDefault="00303994" w:rsidP="00F0287B">
            <w:pPr>
              <w:spacing w:before="43" w:after="30" w:line="300" w:lineRule="auto"/>
              <w:ind w:left="55"/>
            </w:pPr>
            <w:r>
              <w:rPr>
                <w:b/>
                <w:color w:val="454545"/>
              </w:rPr>
              <w:t xml:space="preserve">SAXONIA </w:t>
            </w:r>
            <w:proofErr w:type="spellStart"/>
            <w:r>
              <w:rPr>
                <w:b/>
                <w:color w:val="454545"/>
              </w:rPr>
              <w:t>Edelmetalle</w:t>
            </w:r>
            <w:proofErr w:type="spellEnd"/>
            <w:r>
              <w:rPr>
                <w:b/>
                <w:color w:val="454545"/>
              </w:rPr>
              <w:t xml:space="preserve">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4A5489A" w14:textId="77777777" w:rsidR="00303994" w:rsidRDefault="00303994" w:rsidP="00F0287B">
            <w:pPr>
              <w:spacing w:before="43" w:after="30" w:line="300" w:lineRule="auto"/>
              <w:ind w:left="55"/>
            </w:pPr>
            <w:r>
              <w:rPr>
                <w:b/>
                <w:color w:val="454545"/>
              </w:rPr>
              <w:t>CID002777</w:t>
            </w:r>
          </w:p>
        </w:tc>
      </w:tr>
      <w:tr w:rsidR="00303994" w14:paraId="52AB791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092CED8" w14:textId="77777777" w:rsidR="00303994" w:rsidRDefault="00303994" w:rsidP="00F0287B">
            <w:pPr>
              <w:spacing w:before="43" w:after="30" w:line="300" w:lineRule="auto"/>
              <w:ind w:left="55"/>
            </w:pPr>
            <w:r>
              <w:rPr>
                <w:b/>
                <w:color w:val="454545"/>
              </w:rPr>
              <w:lastRenderedPageBreak/>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162648" w14:textId="77777777" w:rsidR="00303994" w:rsidRDefault="00303994" w:rsidP="00F0287B">
            <w:pPr>
              <w:spacing w:before="43" w:after="30" w:line="300" w:lineRule="auto"/>
              <w:ind w:left="55"/>
            </w:pPr>
            <w:r>
              <w:rPr>
                <w:b/>
                <w:color w:val="454545"/>
              </w:rPr>
              <w:t xml:space="preserve">SEMPSA </w:t>
            </w:r>
            <w:proofErr w:type="spellStart"/>
            <w:r>
              <w:rPr>
                <w:b/>
                <w:color w:val="454545"/>
              </w:rPr>
              <w:t>Joyeria</w:t>
            </w:r>
            <w:proofErr w:type="spellEnd"/>
            <w:r>
              <w:rPr>
                <w:b/>
                <w:color w:val="454545"/>
              </w:rPr>
              <w:t xml:space="preserve"> </w:t>
            </w:r>
            <w:proofErr w:type="spellStart"/>
            <w:r>
              <w:rPr>
                <w:b/>
                <w:color w:val="454545"/>
              </w:rPr>
              <w:t>Plateria</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BC794FD" w14:textId="77777777" w:rsidR="00303994" w:rsidRDefault="00303994" w:rsidP="00F0287B">
            <w:pPr>
              <w:spacing w:before="43" w:after="30" w:line="300" w:lineRule="auto"/>
              <w:ind w:left="55"/>
            </w:pPr>
            <w:r>
              <w:rPr>
                <w:b/>
                <w:color w:val="454545"/>
              </w:rPr>
              <w:t>CID001585</w:t>
            </w:r>
          </w:p>
        </w:tc>
      </w:tr>
      <w:tr w:rsidR="00303994" w14:paraId="66D77E1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7503BC6"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C11D00D" w14:textId="77777777" w:rsidR="00303994" w:rsidRDefault="00303994" w:rsidP="00F0287B">
            <w:pPr>
              <w:spacing w:before="43" w:after="30" w:line="300" w:lineRule="auto"/>
              <w:ind w:left="55"/>
            </w:pPr>
            <w:r>
              <w:rPr>
                <w:b/>
                <w:color w:val="454545"/>
              </w:rPr>
              <w:t xml:space="preserve">SOE </w:t>
            </w:r>
            <w:proofErr w:type="spellStart"/>
            <w:r>
              <w:rPr>
                <w:b/>
                <w:color w:val="454545"/>
              </w:rPr>
              <w:t>Shyolkovsky</w:t>
            </w:r>
            <w:proofErr w:type="spellEnd"/>
            <w:r>
              <w:rPr>
                <w:b/>
                <w:color w:val="454545"/>
              </w:rPr>
              <w:t xml:space="preserve"> Factory of Secondary Precious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2677A9B" w14:textId="77777777" w:rsidR="00303994" w:rsidRDefault="00303994" w:rsidP="00F0287B">
            <w:pPr>
              <w:spacing w:before="43" w:after="30" w:line="300" w:lineRule="auto"/>
              <w:ind w:left="55"/>
            </w:pPr>
            <w:r>
              <w:rPr>
                <w:b/>
                <w:color w:val="454545"/>
              </w:rPr>
              <w:t>CID001756</w:t>
            </w:r>
          </w:p>
        </w:tc>
      </w:tr>
      <w:tr w:rsidR="00303994" w14:paraId="711813A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0E681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7BC2BB8" w14:textId="77777777" w:rsidR="00303994" w:rsidRDefault="00303994" w:rsidP="00F0287B">
            <w:pPr>
              <w:spacing w:before="43" w:after="30" w:line="300" w:lineRule="auto"/>
              <w:ind w:left="55"/>
            </w:pPr>
            <w:proofErr w:type="spellStart"/>
            <w:r>
              <w:rPr>
                <w:b/>
                <w:color w:val="454545"/>
              </w:rPr>
              <w:t>Safimet</w:t>
            </w:r>
            <w:proofErr w:type="spellEnd"/>
            <w:r>
              <w:rPr>
                <w:b/>
                <w:color w:val="454545"/>
              </w:rPr>
              <w:t xml:space="preserve"> S.p.A**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8E62B4E" w14:textId="77777777" w:rsidR="00303994" w:rsidRDefault="00303994" w:rsidP="00F0287B">
            <w:pPr>
              <w:spacing w:before="43" w:after="30" w:line="300" w:lineRule="auto"/>
              <w:ind w:left="55"/>
            </w:pPr>
            <w:r>
              <w:rPr>
                <w:b/>
                <w:color w:val="454545"/>
              </w:rPr>
              <w:t>CID002973</w:t>
            </w:r>
          </w:p>
        </w:tc>
      </w:tr>
      <w:tr w:rsidR="00303994" w14:paraId="21B3FE9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B77A2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D563A8" w14:textId="77777777" w:rsidR="00303994" w:rsidRDefault="00303994" w:rsidP="00F0287B">
            <w:pPr>
              <w:spacing w:before="43" w:after="30" w:line="300" w:lineRule="auto"/>
              <w:ind w:left="55"/>
            </w:pPr>
            <w:proofErr w:type="spellStart"/>
            <w:r>
              <w:rPr>
                <w:b/>
                <w:color w:val="454545"/>
              </w:rPr>
              <w:t>Samduck</w:t>
            </w:r>
            <w:proofErr w:type="spellEnd"/>
            <w:r>
              <w:rPr>
                <w:b/>
                <w:color w:val="454545"/>
              </w:rPr>
              <w:t xml:space="preserve"> Precious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55D2728" w14:textId="77777777" w:rsidR="00303994" w:rsidRDefault="00303994" w:rsidP="00F0287B">
            <w:pPr>
              <w:spacing w:before="43" w:after="30" w:line="300" w:lineRule="auto"/>
              <w:ind w:left="55"/>
            </w:pPr>
            <w:r>
              <w:rPr>
                <w:b/>
                <w:color w:val="454545"/>
              </w:rPr>
              <w:t>CID001555</w:t>
            </w:r>
          </w:p>
        </w:tc>
      </w:tr>
      <w:tr w:rsidR="00303994" w14:paraId="6CD070A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13A2D7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FEEDC75" w14:textId="77777777" w:rsidR="00303994" w:rsidRDefault="00303994" w:rsidP="00F0287B">
            <w:pPr>
              <w:spacing w:before="43" w:after="30" w:line="300" w:lineRule="auto"/>
              <w:ind w:left="55"/>
            </w:pPr>
            <w:r>
              <w:rPr>
                <w:b/>
                <w:color w:val="454545"/>
              </w:rPr>
              <w:t>Shandong Gold Smelting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98C777B" w14:textId="77777777" w:rsidR="00303994" w:rsidRDefault="00303994" w:rsidP="00F0287B">
            <w:pPr>
              <w:spacing w:before="43" w:after="30" w:line="300" w:lineRule="auto"/>
              <w:ind w:left="55"/>
            </w:pPr>
            <w:r>
              <w:rPr>
                <w:b/>
                <w:color w:val="454545"/>
              </w:rPr>
              <w:t>CID001916</w:t>
            </w:r>
          </w:p>
        </w:tc>
      </w:tr>
      <w:tr w:rsidR="00303994" w14:paraId="75736BE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7E1DF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84F82C9" w14:textId="77777777" w:rsidR="00303994" w:rsidRDefault="00303994" w:rsidP="00F0287B">
            <w:pPr>
              <w:spacing w:before="43" w:after="30" w:line="300" w:lineRule="auto"/>
              <w:ind w:left="55"/>
            </w:pPr>
            <w:r>
              <w:rPr>
                <w:b/>
                <w:color w:val="454545"/>
              </w:rPr>
              <w:t xml:space="preserve">Shandong </w:t>
            </w:r>
            <w:proofErr w:type="spellStart"/>
            <w:r>
              <w:rPr>
                <w:b/>
                <w:color w:val="454545"/>
              </w:rPr>
              <w:t>Tiancheng</w:t>
            </w:r>
            <w:proofErr w:type="spellEnd"/>
            <w:r>
              <w:rPr>
                <w:b/>
                <w:color w:val="454545"/>
              </w:rPr>
              <w:t xml:space="preserve"> Biological Gold Industrial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D5949DC" w14:textId="77777777" w:rsidR="00303994" w:rsidRDefault="00303994" w:rsidP="00F0287B">
            <w:pPr>
              <w:spacing w:before="43" w:after="30" w:line="300" w:lineRule="auto"/>
              <w:ind w:left="55"/>
            </w:pPr>
            <w:r>
              <w:rPr>
                <w:b/>
                <w:color w:val="454545"/>
              </w:rPr>
              <w:t>CID001619</w:t>
            </w:r>
          </w:p>
        </w:tc>
      </w:tr>
      <w:tr w:rsidR="00303994" w14:paraId="3A73D6F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7FEE40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7F4826" w14:textId="77777777" w:rsidR="00303994" w:rsidRDefault="00303994" w:rsidP="00F0287B">
            <w:pPr>
              <w:spacing w:before="43" w:after="30" w:line="300" w:lineRule="auto"/>
              <w:ind w:left="55"/>
            </w:pPr>
            <w:r>
              <w:rPr>
                <w:b/>
                <w:color w:val="454545"/>
              </w:rPr>
              <w:t xml:space="preserve">Shandong </w:t>
            </w:r>
            <w:proofErr w:type="spellStart"/>
            <w:r>
              <w:rPr>
                <w:b/>
                <w:color w:val="454545"/>
              </w:rPr>
              <w:t>Zhaojin</w:t>
            </w:r>
            <w:proofErr w:type="spellEnd"/>
            <w:r>
              <w:rPr>
                <w:b/>
                <w:color w:val="454545"/>
              </w:rPr>
              <w:t xml:space="preserve"> Gold &amp; Silver Refinery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5FF9E98" w14:textId="77777777" w:rsidR="00303994" w:rsidRDefault="00303994" w:rsidP="00F0287B">
            <w:pPr>
              <w:spacing w:before="43" w:after="30" w:line="300" w:lineRule="auto"/>
              <w:ind w:left="55"/>
            </w:pPr>
            <w:r>
              <w:rPr>
                <w:b/>
                <w:color w:val="454545"/>
              </w:rPr>
              <w:t>CID001622</w:t>
            </w:r>
          </w:p>
        </w:tc>
      </w:tr>
      <w:tr w:rsidR="00303994" w14:paraId="39E9000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90A2F2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6BF9CD8" w14:textId="77777777" w:rsidR="00303994" w:rsidRDefault="00303994" w:rsidP="00F0287B">
            <w:pPr>
              <w:spacing w:before="43" w:after="30" w:line="300" w:lineRule="auto"/>
              <w:ind w:left="55"/>
            </w:pPr>
            <w:r>
              <w:rPr>
                <w:b/>
                <w:color w:val="454545"/>
              </w:rPr>
              <w:t xml:space="preserve">Sichuan </w:t>
            </w:r>
            <w:proofErr w:type="spellStart"/>
            <w:r>
              <w:rPr>
                <w:b/>
                <w:color w:val="454545"/>
              </w:rPr>
              <w:t>Tianze</w:t>
            </w:r>
            <w:proofErr w:type="spellEnd"/>
            <w:r>
              <w:rPr>
                <w:b/>
                <w:color w:val="454545"/>
              </w:rPr>
              <w:t xml:space="preserve"> Precious Metals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FF0F4B7" w14:textId="77777777" w:rsidR="00303994" w:rsidRDefault="00303994" w:rsidP="00F0287B">
            <w:pPr>
              <w:spacing w:before="43" w:after="30" w:line="300" w:lineRule="auto"/>
              <w:ind w:left="55"/>
            </w:pPr>
            <w:r>
              <w:rPr>
                <w:b/>
                <w:color w:val="454545"/>
              </w:rPr>
              <w:t>CID001736</w:t>
            </w:r>
          </w:p>
        </w:tc>
      </w:tr>
      <w:tr w:rsidR="00303994" w14:paraId="433692A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B3B7F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BA5058D" w14:textId="77777777" w:rsidR="00303994" w:rsidRDefault="00303994" w:rsidP="00F0287B">
            <w:pPr>
              <w:spacing w:before="43" w:after="30" w:line="300" w:lineRule="auto"/>
              <w:ind w:left="55"/>
            </w:pPr>
            <w:proofErr w:type="spellStart"/>
            <w:r>
              <w:rPr>
                <w:b/>
                <w:color w:val="454545"/>
              </w:rPr>
              <w:t>Singway</w:t>
            </w:r>
            <w:proofErr w:type="spellEnd"/>
            <w:r>
              <w:rPr>
                <w:b/>
                <w:color w:val="454545"/>
              </w:rPr>
              <w:t xml:space="preserve"> Technology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4D2BA02" w14:textId="77777777" w:rsidR="00303994" w:rsidRDefault="00303994" w:rsidP="00F0287B">
            <w:pPr>
              <w:spacing w:before="43" w:after="30" w:line="300" w:lineRule="auto"/>
              <w:ind w:left="55"/>
            </w:pPr>
            <w:r>
              <w:rPr>
                <w:b/>
                <w:color w:val="454545"/>
              </w:rPr>
              <w:t>CID002516</w:t>
            </w:r>
          </w:p>
        </w:tc>
      </w:tr>
      <w:tr w:rsidR="00303994" w14:paraId="5CF9A35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FA4E5C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410370D" w14:textId="77777777" w:rsidR="00303994" w:rsidRDefault="00303994" w:rsidP="00F0287B">
            <w:pPr>
              <w:spacing w:before="43" w:after="30" w:line="300" w:lineRule="auto"/>
              <w:ind w:left="55"/>
            </w:pPr>
            <w:r>
              <w:rPr>
                <w:b/>
                <w:color w:val="454545"/>
              </w:rPr>
              <w:t>Solar Applied Materials Technology Corp.**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D1C97D5" w14:textId="77777777" w:rsidR="00303994" w:rsidRDefault="00303994" w:rsidP="00F0287B">
            <w:pPr>
              <w:spacing w:before="43" w:after="30" w:line="300" w:lineRule="auto"/>
              <w:ind w:left="55"/>
            </w:pPr>
            <w:r>
              <w:rPr>
                <w:b/>
                <w:color w:val="454545"/>
              </w:rPr>
              <w:t>CID001761</w:t>
            </w:r>
          </w:p>
        </w:tc>
      </w:tr>
      <w:tr w:rsidR="00303994" w14:paraId="70FCD9C8" w14:textId="77777777" w:rsidTr="00F0287B">
        <w:trPr>
          <w:cantSplit/>
          <w:trHeight w:hRule="exact" w:val="6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FFD109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721040" w14:textId="77777777" w:rsidR="00303994" w:rsidRDefault="00303994" w:rsidP="00F0287B">
            <w:pPr>
              <w:spacing w:before="43" w:after="30" w:line="300" w:lineRule="auto"/>
              <w:ind w:left="55"/>
            </w:pPr>
            <w:r>
              <w:rPr>
                <w:b/>
                <w:color w:val="454545"/>
              </w:rPr>
              <w:t>State Research Institute Center for Physical Sciences and Technology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4E64548" w14:textId="77777777" w:rsidR="00303994" w:rsidRDefault="00303994" w:rsidP="00F0287B">
            <w:pPr>
              <w:spacing w:before="43" w:after="30" w:line="300" w:lineRule="auto"/>
              <w:ind w:left="55"/>
            </w:pPr>
            <w:r>
              <w:rPr>
                <w:b/>
                <w:color w:val="454545"/>
              </w:rPr>
              <w:t>CID003153</w:t>
            </w:r>
          </w:p>
        </w:tc>
      </w:tr>
      <w:tr w:rsidR="00303994" w14:paraId="379A27F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F3BCCD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42D047B" w14:textId="77777777" w:rsidR="00303994" w:rsidRDefault="00303994" w:rsidP="00F0287B">
            <w:pPr>
              <w:spacing w:before="43" w:after="30" w:line="300" w:lineRule="auto"/>
              <w:ind w:left="55"/>
            </w:pPr>
            <w:r>
              <w:rPr>
                <w:b/>
                <w:color w:val="454545"/>
              </w:rPr>
              <w:t>Sudan Gold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E11B002" w14:textId="77777777" w:rsidR="00303994" w:rsidRDefault="00303994" w:rsidP="00F0287B">
            <w:pPr>
              <w:spacing w:before="43" w:after="30" w:line="300" w:lineRule="auto"/>
              <w:ind w:left="55"/>
            </w:pPr>
            <w:r>
              <w:rPr>
                <w:b/>
                <w:color w:val="454545"/>
              </w:rPr>
              <w:t>CID002567</w:t>
            </w:r>
          </w:p>
        </w:tc>
      </w:tr>
      <w:tr w:rsidR="00303994" w14:paraId="3BE48FE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FFB6C6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B7B283A" w14:textId="77777777" w:rsidR="00303994" w:rsidRDefault="00303994" w:rsidP="00F0287B">
            <w:pPr>
              <w:spacing w:before="43" w:after="30" w:line="300" w:lineRule="auto"/>
              <w:ind w:left="55"/>
            </w:pPr>
            <w:r>
              <w:rPr>
                <w:b/>
                <w:color w:val="454545"/>
              </w:rPr>
              <w:t>Sumitomo Metal Mining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EC30D5E" w14:textId="77777777" w:rsidR="00303994" w:rsidRDefault="00303994" w:rsidP="00F0287B">
            <w:pPr>
              <w:spacing w:before="43" w:after="30" w:line="300" w:lineRule="auto"/>
              <w:ind w:left="55"/>
            </w:pPr>
            <w:r>
              <w:rPr>
                <w:b/>
                <w:color w:val="454545"/>
              </w:rPr>
              <w:t>CID001798</w:t>
            </w:r>
          </w:p>
        </w:tc>
      </w:tr>
      <w:tr w:rsidR="00303994" w14:paraId="2FA63BA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A70CEE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BE7325" w14:textId="77777777" w:rsidR="00303994" w:rsidRDefault="00303994" w:rsidP="00F0287B">
            <w:pPr>
              <w:spacing w:before="43" w:after="30" w:line="300" w:lineRule="auto"/>
              <w:ind w:left="55"/>
            </w:pPr>
            <w:proofErr w:type="spellStart"/>
            <w:r>
              <w:rPr>
                <w:b/>
                <w:color w:val="454545"/>
              </w:rPr>
              <w:t>SungEel</w:t>
            </w:r>
            <w:proofErr w:type="spellEnd"/>
            <w:r>
              <w:rPr>
                <w:b/>
                <w:color w:val="454545"/>
              </w:rPr>
              <w:t xml:space="preserve"> </w:t>
            </w:r>
            <w:proofErr w:type="spellStart"/>
            <w:r>
              <w:rPr>
                <w:b/>
                <w:color w:val="454545"/>
              </w:rPr>
              <w:t>HiMetal</w:t>
            </w:r>
            <w:proofErr w:type="spellEnd"/>
            <w:r>
              <w:rPr>
                <w:b/>
                <w:color w:val="454545"/>
              </w:rPr>
              <w:t xml:space="preserv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9543C9D" w14:textId="77777777" w:rsidR="00303994" w:rsidRDefault="00303994" w:rsidP="00F0287B">
            <w:pPr>
              <w:spacing w:before="43" w:after="30" w:line="300" w:lineRule="auto"/>
              <w:ind w:left="55"/>
            </w:pPr>
            <w:r>
              <w:rPr>
                <w:b/>
                <w:color w:val="454545"/>
              </w:rPr>
              <w:t>CID002918</w:t>
            </w:r>
          </w:p>
        </w:tc>
      </w:tr>
      <w:tr w:rsidR="00303994" w14:paraId="08D2CD4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74AA59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BEA536" w14:textId="77777777" w:rsidR="00303994" w:rsidRDefault="00303994" w:rsidP="00F0287B">
            <w:pPr>
              <w:spacing w:before="43" w:after="30" w:line="300" w:lineRule="auto"/>
              <w:ind w:left="55"/>
            </w:pPr>
            <w:r>
              <w:rPr>
                <w:b/>
                <w:color w:val="454545"/>
              </w:rPr>
              <w:t>T.C.A S.p.A**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DD4D3EC" w14:textId="77777777" w:rsidR="00303994" w:rsidRDefault="00303994" w:rsidP="00F0287B">
            <w:pPr>
              <w:spacing w:before="43" w:after="30" w:line="300" w:lineRule="auto"/>
              <w:ind w:left="55"/>
            </w:pPr>
            <w:r>
              <w:rPr>
                <w:b/>
                <w:color w:val="454545"/>
              </w:rPr>
              <w:t>CID002580</w:t>
            </w:r>
          </w:p>
        </w:tc>
      </w:tr>
      <w:tr w:rsidR="00303994" w14:paraId="14C6D37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A197CF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DB488C" w14:textId="77777777" w:rsidR="00303994" w:rsidRDefault="00303994" w:rsidP="00F0287B">
            <w:pPr>
              <w:spacing w:before="43" w:after="30" w:line="300" w:lineRule="auto"/>
              <w:ind w:left="55"/>
            </w:pPr>
            <w:r>
              <w:rPr>
                <w:b/>
                <w:color w:val="454545"/>
              </w:rPr>
              <w:t>TOO Tau-Ken-</w:t>
            </w:r>
            <w:proofErr w:type="spellStart"/>
            <w:r>
              <w:rPr>
                <w:b/>
                <w:color w:val="454545"/>
              </w:rPr>
              <w:t>Altyn</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D7B0DA2" w14:textId="77777777" w:rsidR="00303994" w:rsidRDefault="00303994" w:rsidP="00F0287B">
            <w:pPr>
              <w:spacing w:before="43" w:after="30" w:line="300" w:lineRule="auto"/>
              <w:ind w:left="55"/>
            </w:pPr>
            <w:r>
              <w:rPr>
                <w:b/>
                <w:color w:val="454545"/>
              </w:rPr>
              <w:t>CID002615</w:t>
            </w:r>
          </w:p>
        </w:tc>
      </w:tr>
      <w:tr w:rsidR="00303994" w14:paraId="18BC6B9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AB97B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E7D0ED" w14:textId="77777777" w:rsidR="00303994" w:rsidRDefault="00303994" w:rsidP="00F0287B">
            <w:pPr>
              <w:spacing w:before="43" w:after="30" w:line="300" w:lineRule="auto"/>
              <w:ind w:left="55"/>
            </w:pPr>
            <w:r>
              <w:rPr>
                <w:b/>
                <w:color w:val="454545"/>
              </w:rPr>
              <w:t xml:space="preserve">Tanaka </w:t>
            </w:r>
            <w:proofErr w:type="spellStart"/>
            <w:r>
              <w:rPr>
                <w:b/>
                <w:color w:val="454545"/>
              </w:rPr>
              <w:t>Kikinzoku</w:t>
            </w:r>
            <w:proofErr w:type="spellEnd"/>
            <w:r>
              <w:rPr>
                <w:b/>
                <w:color w:val="454545"/>
              </w:rPr>
              <w:t xml:space="preserve"> Kogyo K.K.**</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F46C33A" w14:textId="77777777" w:rsidR="00303994" w:rsidRDefault="00303994" w:rsidP="00F0287B">
            <w:pPr>
              <w:spacing w:before="43" w:after="30" w:line="300" w:lineRule="auto"/>
              <w:ind w:left="55"/>
            </w:pPr>
            <w:r>
              <w:rPr>
                <w:b/>
                <w:color w:val="454545"/>
              </w:rPr>
              <w:t>CID001875</w:t>
            </w:r>
          </w:p>
        </w:tc>
      </w:tr>
      <w:tr w:rsidR="00303994" w14:paraId="7E31838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F77C8A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158CDB7" w14:textId="77777777" w:rsidR="00303994" w:rsidRDefault="00303994" w:rsidP="00F0287B">
            <w:pPr>
              <w:spacing w:before="43" w:after="30" w:line="300" w:lineRule="auto"/>
              <w:ind w:left="55"/>
            </w:pPr>
            <w:proofErr w:type="spellStart"/>
            <w:r>
              <w:rPr>
                <w:b/>
                <w:color w:val="454545"/>
              </w:rPr>
              <w:t>Tokuriki</w:t>
            </w:r>
            <w:proofErr w:type="spellEnd"/>
            <w:r>
              <w:rPr>
                <w:b/>
                <w:color w:val="454545"/>
              </w:rPr>
              <w:t xml:space="preserve"> </w:t>
            </w:r>
            <w:proofErr w:type="spellStart"/>
            <w:r>
              <w:rPr>
                <w:b/>
                <w:color w:val="454545"/>
              </w:rPr>
              <w:t>Honten</w:t>
            </w:r>
            <w:proofErr w:type="spellEnd"/>
            <w:r>
              <w:rPr>
                <w:b/>
                <w:color w:val="454545"/>
              </w:rPr>
              <w:t xml:space="preserv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6D8974F" w14:textId="77777777" w:rsidR="00303994" w:rsidRDefault="00303994" w:rsidP="00F0287B">
            <w:pPr>
              <w:spacing w:before="43" w:after="30" w:line="300" w:lineRule="auto"/>
              <w:ind w:left="55"/>
            </w:pPr>
            <w:r>
              <w:rPr>
                <w:b/>
                <w:color w:val="454545"/>
              </w:rPr>
              <w:t>CID001938</w:t>
            </w:r>
          </w:p>
        </w:tc>
      </w:tr>
      <w:tr w:rsidR="00303994" w14:paraId="6F8DAAE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C8F781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6FF8823" w14:textId="77777777" w:rsidR="00303994" w:rsidRDefault="00303994" w:rsidP="00F0287B">
            <w:pPr>
              <w:spacing w:before="43" w:after="30" w:line="300" w:lineRule="auto"/>
              <w:ind w:left="55"/>
            </w:pPr>
            <w:proofErr w:type="spellStart"/>
            <w:r>
              <w:rPr>
                <w:b/>
                <w:color w:val="454545"/>
              </w:rPr>
              <w:t>Tongling</w:t>
            </w:r>
            <w:proofErr w:type="spellEnd"/>
            <w:r>
              <w:rPr>
                <w:b/>
                <w:color w:val="454545"/>
              </w:rPr>
              <w:t xml:space="preserve"> Nonferrous Metals Group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41688E0" w14:textId="77777777" w:rsidR="00303994" w:rsidRDefault="00303994" w:rsidP="00F0287B">
            <w:pPr>
              <w:spacing w:before="43" w:after="30" w:line="300" w:lineRule="auto"/>
              <w:ind w:left="55"/>
            </w:pPr>
            <w:r>
              <w:rPr>
                <w:b/>
                <w:color w:val="454545"/>
              </w:rPr>
              <w:t>CID001947</w:t>
            </w:r>
          </w:p>
        </w:tc>
      </w:tr>
      <w:tr w:rsidR="00303994" w14:paraId="7F74431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8E23C3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A2D74E2" w14:textId="77777777" w:rsidR="00303994" w:rsidRDefault="00303994" w:rsidP="00F0287B">
            <w:pPr>
              <w:spacing w:before="43" w:after="30" w:line="300" w:lineRule="auto"/>
              <w:ind w:left="55"/>
            </w:pPr>
            <w:proofErr w:type="spellStart"/>
            <w:r>
              <w:rPr>
                <w:b/>
                <w:color w:val="454545"/>
              </w:rPr>
              <w:t>Torecom</w:t>
            </w:r>
            <w:proofErr w:type="spellEnd"/>
            <w:r>
              <w:rPr>
                <w:b/>
                <w:color w:val="454545"/>
              </w:rPr>
              <w: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CE9C697" w14:textId="77777777" w:rsidR="00303994" w:rsidRDefault="00303994" w:rsidP="00F0287B">
            <w:pPr>
              <w:spacing w:before="43" w:after="30" w:line="300" w:lineRule="auto"/>
              <w:ind w:left="55"/>
            </w:pPr>
            <w:r>
              <w:rPr>
                <w:b/>
                <w:color w:val="454545"/>
              </w:rPr>
              <w:t>CID001955</w:t>
            </w:r>
          </w:p>
        </w:tc>
      </w:tr>
      <w:tr w:rsidR="00303994" w14:paraId="245712C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3E4742"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2408585" w14:textId="77777777" w:rsidR="00303994" w:rsidRDefault="00303994" w:rsidP="00F0287B">
            <w:pPr>
              <w:spacing w:before="43" w:after="30" w:line="300" w:lineRule="auto"/>
              <w:ind w:left="55"/>
            </w:pPr>
            <w:r>
              <w:rPr>
                <w:b/>
                <w:color w:val="454545"/>
              </w:rPr>
              <w:t>Umicore Precious Metals Thailand**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04F1149" w14:textId="77777777" w:rsidR="00303994" w:rsidRDefault="00303994" w:rsidP="00F0287B">
            <w:pPr>
              <w:spacing w:before="43" w:after="30" w:line="300" w:lineRule="auto"/>
              <w:ind w:left="55"/>
            </w:pPr>
            <w:r>
              <w:rPr>
                <w:b/>
                <w:color w:val="454545"/>
              </w:rPr>
              <w:t>CID002314</w:t>
            </w:r>
          </w:p>
        </w:tc>
      </w:tr>
      <w:tr w:rsidR="00303994" w14:paraId="7F9A7E0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7866D6"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50DF3F7" w14:textId="77777777" w:rsidR="00303994" w:rsidRDefault="00303994" w:rsidP="00F0287B">
            <w:pPr>
              <w:spacing w:before="43" w:after="30" w:line="300" w:lineRule="auto"/>
              <w:ind w:left="55"/>
            </w:pPr>
            <w:r>
              <w:rPr>
                <w:b/>
                <w:color w:val="454545"/>
              </w:rPr>
              <w:t>Umicore S.A. Business Unit Precious Metals Refining**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3550480" w14:textId="77777777" w:rsidR="00303994" w:rsidRDefault="00303994" w:rsidP="00F0287B">
            <w:pPr>
              <w:spacing w:before="43" w:after="30" w:line="300" w:lineRule="auto"/>
              <w:ind w:left="55"/>
            </w:pPr>
            <w:r>
              <w:rPr>
                <w:b/>
                <w:color w:val="454545"/>
              </w:rPr>
              <w:t>CID001980</w:t>
            </w:r>
          </w:p>
        </w:tc>
      </w:tr>
      <w:tr w:rsidR="00303994" w14:paraId="5A94961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E3044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428EBBD" w14:textId="77777777" w:rsidR="00303994" w:rsidRDefault="00303994" w:rsidP="00F0287B">
            <w:pPr>
              <w:spacing w:before="43" w:after="30" w:line="300" w:lineRule="auto"/>
              <w:ind w:left="55"/>
            </w:pPr>
            <w:r>
              <w:rPr>
                <w:b/>
                <w:color w:val="454545"/>
              </w:rPr>
              <w:t>United Precious Metal Refining,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0E8B5D5" w14:textId="77777777" w:rsidR="00303994" w:rsidRDefault="00303994" w:rsidP="00F0287B">
            <w:pPr>
              <w:spacing w:before="43" w:after="30" w:line="300" w:lineRule="auto"/>
              <w:ind w:left="55"/>
            </w:pPr>
            <w:r>
              <w:rPr>
                <w:b/>
                <w:color w:val="454545"/>
              </w:rPr>
              <w:t>CID001993</w:t>
            </w:r>
          </w:p>
        </w:tc>
      </w:tr>
      <w:tr w:rsidR="00303994" w14:paraId="75C8C4A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14F489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A0F7AA" w14:textId="77777777" w:rsidR="00303994" w:rsidRDefault="00303994" w:rsidP="00F0287B">
            <w:pPr>
              <w:spacing w:before="43" w:after="30" w:line="300" w:lineRule="auto"/>
              <w:ind w:left="55"/>
            </w:pPr>
            <w:proofErr w:type="spellStart"/>
            <w:r>
              <w:rPr>
                <w:b/>
                <w:color w:val="454545"/>
              </w:rPr>
              <w:t>Valcambi</w:t>
            </w:r>
            <w:proofErr w:type="spellEnd"/>
            <w:r>
              <w:rPr>
                <w:b/>
                <w:color w:val="454545"/>
              </w:rPr>
              <w:t xml:space="preserve">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F4A05AF" w14:textId="77777777" w:rsidR="00303994" w:rsidRDefault="00303994" w:rsidP="00F0287B">
            <w:pPr>
              <w:spacing w:before="43" w:after="30" w:line="300" w:lineRule="auto"/>
              <w:ind w:left="55"/>
            </w:pPr>
            <w:r>
              <w:rPr>
                <w:b/>
                <w:color w:val="454545"/>
              </w:rPr>
              <w:t>CID002003</w:t>
            </w:r>
          </w:p>
        </w:tc>
      </w:tr>
      <w:tr w:rsidR="00303994" w14:paraId="31A58EB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22CBF0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A8C49B" w14:textId="77777777" w:rsidR="00303994" w:rsidRDefault="00303994" w:rsidP="00F0287B">
            <w:pPr>
              <w:spacing w:before="43" w:after="30" w:line="300" w:lineRule="auto"/>
              <w:ind w:left="55"/>
            </w:pPr>
            <w:r>
              <w:rPr>
                <w:b/>
                <w:color w:val="454545"/>
              </w:rPr>
              <w:t xml:space="preserve">WIELAND </w:t>
            </w:r>
            <w:proofErr w:type="spellStart"/>
            <w:r>
              <w:rPr>
                <w:b/>
                <w:color w:val="454545"/>
              </w:rPr>
              <w:t>Edelmetalle</w:t>
            </w:r>
            <w:proofErr w:type="spellEnd"/>
            <w:r>
              <w:rPr>
                <w:b/>
                <w:color w:val="454545"/>
              </w:rPr>
              <w:t xml:space="preserve">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A8B6B70" w14:textId="77777777" w:rsidR="00303994" w:rsidRDefault="00303994" w:rsidP="00F0287B">
            <w:pPr>
              <w:spacing w:before="43" w:after="30" w:line="300" w:lineRule="auto"/>
              <w:ind w:left="55"/>
            </w:pPr>
            <w:r>
              <w:rPr>
                <w:b/>
                <w:color w:val="454545"/>
              </w:rPr>
              <w:t>CID002778</w:t>
            </w:r>
          </w:p>
        </w:tc>
      </w:tr>
      <w:tr w:rsidR="00303994" w14:paraId="6A846FD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760D2F4"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889B7A1" w14:textId="77777777" w:rsidR="00303994" w:rsidRDefault="00303994" w:rsidP="00F0287B">
            <w:pPr>
              <w:spacing w:before="43" w:after="30" w:line="300" w:lineRule="auto"/>
              <w:ind w:left="55"/>
            </w:pPr>
            <w:r>
              <w:rPr>
                <w:b/>
                <w:color w:val="454545"/>
              </w:rPr>
              <w:t>Western Australian Mint (T/a The Perth Mint)**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6565EEC" w14:textId="77777777" w:rsidR="00303994" w:rsidRDefault="00303994" w:rsidP="00F0287B">
            <w:pPr>
              <w:spacing w:before="43" w:after="30" w:line="300" w:lineRule="auto"/>
              <w:ind w:left="55"/>
            </w:pPr>
            <w:r>
              <w:rPr>
                <w:b/>
                <w:color w:val="454545"/>
              </w:rPr>
              <w:t>CID002030</w:t>
            </w:r>
          </w:p>
        </w:tc>
      </w:tr>
      <w:tr w:rsidR="00303994" w14:paraId="708A2EC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5C4029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BA4597B" w14:textId="77777777" w:rsidR="00303994" w:rsidRDefault="00303994" w:rsidP="00F0287B">
            <w:pPr>
              <w:spacing w:before="43" w:after="30" w:line="300" w:lineRule="auto"/>
              <w:ind w:left="55"/>
            </w:pPr>
            <w:proofErr w:type="spellStart"/>
            <w:r>
              <w:rPr>
                <w:b/>
                <w:color w:val="454545"/>
              </w:rPr>
              <w:t>Yamakin</w:t>
            </w:r>
            <w:proofErr w:type="spellEnd"/>
            <w:r>
              <w:rPr>
                <w:b/>
                <w:color w:val="454545"/>
              </w:rPr>
              <w:t xml:space="preserve">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B09C2FC" w14:textId="77777777" w:rsidR="00303994" w:rsidRDefault="00303994" w:rsidP="00F0287B">
            <w:pPr>
              <w:spacing w:before="43" w:after="30" w:line="300" w:lineRule="auto"/>
              <w:ind w:left="55"/>
            </w:pPr>
            <w:r>
              <w:rPr>
                <w:b/>
                <w:color w:val="454545"/>
              </w:rPr>
              <w:t>CID002100</w:t>
            </w:r>
          </w:p>
        </w:tc>
      </w:tr>
      <w:tr w:rsidR="00303994" w14:paraId="7BF37F2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030DA5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35EE6F" w14:textId="77777777" w:rsidR="00303994" w:rsidRDefault="00303994" w:rsidP="00F0287B">
            <w:pPr>
              <w:spacing w:before="43" w:after="30" w:line="300" w:lineRule="auto"/>
              <w:ind w:left="55"/>
            </w:pPr>
            <w:r>
              <w:rPr>
                <w:b/>
                <w:color w:val="454545"/>
              </w:rPr>
              <w:t>Yokohama Metal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909118F" w14:textId="77777777" w:rsidR="00303994" w:rsidRDefault="00303994" w:rsidP="00F0287B">
            <w:pPr>
              <w:spacing w:before="43" w:after="30" w:line="300" w:lineRule="auto"/>
              <w:ind w:left="55"/>
            </w:pPr>
            <w:r>
              <w:rPr>
                <w:b/>
                <w:color w:val="454545"/>
              </w:rPr>
              <w:t>CID002129</w:t>
            </w:r>
          </w:p>
        </w:tc>
      </w:tr>
      <w:tr w:rsidR="00303994" w14:paraId="470806A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760E93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BDF7662" w14:textId="77777777" w:rsidR="00303994" w:rsidRDefault="00303994" w:rsidP="00F0287B">
            <w:pPr>
              <w:spacing w:before="43" w:after="30" w:line="300" w:lineRule="auto"/>
              <w:ind w:left="55"/>
            </w:pPr>
            <w:r>
              <w:rPr>
                <w:b/>
                <w:color w:val="454545"/>
              </w:rPr>
              <w:t>Yunnan Copper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6CD8F86" w14:textId="77777777" w:rsidR="00303994" w:rsidRDefault="00303994" w:rsidP="00F0287B">
            <w:pPr>
              <w:spacing w:before="43" w:after="30" w:line="300" w:lineRule="auto"/>
              <w:ind w:left="55"/>
            </w:pPr>
            <w:r>
              <w:rPr>
                <w:b/>
                <w:color w:val="454545"/>
              </w:rPr>
              <w:t>CID000197</w:t>
            </w:r>
          </w:p>
        </w:tc>
      </w:tr>
      <w:tr w:rsidR="00303994" w14:paraId="0F8D869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9F53CE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02ED8F0" w14:textId="77777777" w:rsidR="00303994" w:rsidRDefault="00303994" w:rsidP="00F0287B">
            <w:pPr>
              <w:spacing w:before="43" w:after="30" w:line="300" w:lineRule="auto"/>
              <w:ind w:left="55"/>
            </w:pPr>
            <w:proofErr w:type="spellStart"/>
            <w:r>
              <w:rPr>
                <w:b/>
                <w:color w:val="454545"/>
              </w:rPr>
              <w:t>Zhongyuan</w:t>
            </w:r>
            <w:proofErr w:type="spellEnd"/>
            <w:r>
              <w:rPr>
                <w:b/>
                <w:color w:val="454545"/>
              </w:rPr>
              <w:t xml:space="preserve"> Gold Smelter of </w:t>
            </w:r>
            <w:proofErr w:type="spellStart"/>
            <w:r>
              <w:rPr>
                <w:b/>
                <w:color w:val="454545"/>
              </w:rPr>
              <w:t>Zhongjin</w:t>
            </w:r>
            <w:proofErr w:type="spellEnd"/>
            <w:r>
              <w:rPr>
                <w:b/>
                <w:color w:val="454545"/>
              </w:rPr>
              <w:t xml:space="preserve"> Gold Corporation**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04559A9" w14:textId="77777777" w:rsidR="00303994" w:rsidRDefault="00303994" w:rsidP="00F0287B">
            <w:pPr>
              <w:spacing w:before="43" w:after="30" w:line="300" w:lineRule="auto"/>
              <w:ind w:left="55"/>
            </w:pPr>
            <w:r>
              <w:rPr>
                <w:b/>
                <w:color w:val="454545"/>
              </w:rPr>
              <w:t>CID002224</w:t>
            </w:r>
          </w:p>
        </w:tc>
      </w:tr>
      <w:tr w:rsidR="00303994" w14:paraId="4832911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70C1F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7CE17A4" w14:textId="77777777" w:rsidR="00303994" w:rsidRDefault="00303994" w:rsidP="00F0287B">
            <w:pPr>
              <w:spacing w:before="43" w:after="30" w:line="300" w:lineRule="auto"/>
              <w:ind w:left="55"/>
            </w:pPr>
            <w:r>
              <w:rPr>
                <w:b/>
                <w:color w:val="454545"/>
              </w:rPr>
              <w:t>Eco-System Recycling Co., Ltd. East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86DD289" w14:textId="77777777" w:rsidR="00303994" w:rsidRDefault="00303994" w:rsidP="00F0287B">
            <w:pPr>
              <w:spacing w:before="43" w:after="30" w:line="300" w:lineRule="auto"/>
              <w:ind w:left="55"/>
            </w:pPr>
            <w:r>
              <w:rPr>
                <w:b/>
                <w:color w:val="454545"/>
              </w:rPr>
              <w:t>CID000425</w:t>
            </w:r>
          </w:p>
        </w:tc>
      </w:tr>
      <w:tr w:rsidR="00303994" w14:paraId="2BD45C6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F4BF20"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6550911" w14:textId="77777777" w:rsidR="00303994" w:rsidRDefault="00303994" w:rsidP="00F0287B">
            <w:pPr>
              <w:spacing w:before="43" w:after="30" w:line="300" w:lineRule="auto"/>
              <w:ind w:left="55"/>
            </w:pPr>
            <w:r>
              <w:rPr>
                <w:b/>
                <w:color w:val="454545"/>
              </w:rPr>
              <w:t>8853 S.p.A.**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7498DDF" w14:textId="77777777" w:rsidR="00303994" w:rsidRDefault="00303994" w:rsidP="00F0287B">
            <w:pPr>
              <w:spacing w:before="43" w:after="30" w:line="300" w:lineRule="auto"/>
              <w:ind w:left="55"/>
            </w:pPr>
            <w:r>
              <w:rPr>
                <w:b/>
                <w:color w:val="454545"/>
              </w:rPr>
              <w:t>CID002763</w:t>
            </w:r>
          </w:p>
        </w:tc>
      </w:tr>
      <w:tr w:rsidR="00303994" w14:paraId="737A8D1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CEADF8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8ED3CE" w14:textId="77777777" w:rsidR="00303994" w:rsidRDefault="00303994" w:rsidP="00F0287B">
            <w:pPr>
              <w:spacing w:before="43" w:after="30" w:line="300" w:lineRule="auto"/>
              <w:ind w:left="55"/>
            </w:pPr>
            <w:r>
              <w:rPr>
                <w:b/>
                <w:color w:val="454545"/>
              </w:rPr>
              <w:t xml:space="preserve">Hunan Guiyang </w:t>
            </w:r>
            <w:proofErr w:type="spellStart"/>
            <w:r>
              <w:rPr>
                <w:b/>
                <w:color w:val="454545"/>
              </w:rPr>
              <w:t>yinxing</w:t>
            </w:r>
            <w:proofErr w:type="spellEnd"/>
            <w:r>
              <w:rPr>
                <w:b/>
                <w:color w:val="454545"/>
              </w:rPr>
              <w:t xml:space="preserve"> Nonferrous Smelting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760466C" w14:textId="77777777" w:rsidR="00303994" w:rsidRDefault="00303994" w:rsidP="00F0287B">
            <w:pPr>
              <w:spacing w:before="43" w:after="30" w:line="300" w:lineRule="auto"/>
              <w:ind w:left="55"/>
            </w:pPr>
            <w:r>
              <w:rPr>
                <w:b/>
                <w:color w:val="454545"/>
              </w:rPr>
              <w:t>CID000773</w:t>
            </w:r>
          </w:p>
        </w:tc>
      </w:tr>
      <w:tr w:rsidR="00303994" w14:paraId="7DCF80B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F83FF8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5EFADA6" w14:textId="77777777" w:rsidR="00303994" w:rsidRDefault="00303994" w:rsidP="00F0287B">
            <w:pPr>
              <w:spacing w:before="43" w:after="30" w:line="300" w:lineRule="auto"/>
              <w:ind w:left="55"/>
            </w:pPr>
            <w:proofErr w:type="spellStart"/>
            <w:r>
              <w:rPr>
                <w:b/>
                <w:color w:val="454545"/>
              </w:rPr>
              <w:t>HwaSeong</w:t>
            </w:r>
            <w:proofErr w:type="spellEnd"/>
            <w:r>
              <w:rPr>
                <w:b/>
                <w:color w:val="454545"/>
              </w:rPr>
              <w:t xml:space="preserve"> CJ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6E58296" w14:textId="77777777" w:rsidR="00303994" w:rsidRDefault="00303994" w:rsidP="00F0287B">
            <w:pPr>
              <w:spacing w:before="43" w:after="30" w:line="300" w:lineRule="auto"/>
              <w:ind w:left="55"/>
            </w:pPr>
            <w:r>
              <w:rPr>
                <w:b/>
                <w:color w:val="454545"/>
              </w:rPr>
              <w:t>CID000778</w:t>
            </w:r>
          </w:p>
        </w:tc>
      </w:tr>
      <w:tr w:rsidR="00303994" w14:paraId="0FD297F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C88FC1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E3BC683" w14:textId="77777777" w:rsidR="00303994" w:rsidRDefault="00303994" w:rsidP="00F0287B">
            <w:pPr>
              <w:spacing w:before="43" w:after="30" w:line="300" w:lineRule="auto"/>
              <w:ind w:left="55"/>
            </w:pPr>
            <w:r>
              <w:rPr>
                <w:b/>
                <w:color w:val="454545"/>
              </w:rPr>
              <w:t>Sabin Metal Corp.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63B665B" w14:textId="77777777" w:rsidR="00303994" w:rsidRDefault="00303994" w:rsidP="00F0287B">
            <w:pPr>
              <w:spacing w:before="43" w:after="30" w:line="300" w:lineRule="auto"/>
              <w:ind w:left="55"/>
            </w:pPr>
            <w:r>
              <w:rPr>
                <w:b/>
                <w:color w:val="454545"/>
              </w:rPr>
              <w:t>CID001546</w:t>
            </w:r>
          </w:p>
        </w:tc>
      </w:tr>
      <w:tr w:rsidR="00303994" w14:paraId="222CA0AE"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D1B94B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625626F" w14:textId="77777777" w:rsidR="00303994" w:rsidRDefault="00303994" w:rsidP="00F0287B">
            <w:pPr>
              <w:spacing w:before="43" w:after="30" w:line="300" w:lineRule="auto"/>
              <w:ind w:left="55"/>
            </w:pPr>
            <w:proofErr w:type="spellStart"/>
            <w:r>
              <w:rPr>
                <w:b/>
                <w:color w:val="454545"/>
              </w:rPr>
              <w:t>Samwon</w:t>
            </w:r>
            <w:proofErr w:type="spellEnd"/>
            <w:r>
              <w:rPr>
                <w:b/>
                <w:color w:val="454545"/>
              </w:rPr>
              <w:t xml:space="preserve"> Metals Corp.</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33E2560" w14:textId="77777777" w:rsidR="00303994" w:rsidRDefault="00303994" w:rsidP="00F0287B">
            <w:pPr>
              <w:spacing w:before="43" w:after="30" w:line="300" w:lineRule="auto"/>
              <w:ind w:left="55"/>
            </w:pPr>
            <w:r>
              <w:rPr>
                <w:b/>
                <w:color w:val="454545"/>
              </w:rPr>
              <w:t>CID001562</w:t>
            </w:r>
          </w:p>
        </w:tc>
      </w:tr>
      <w:tr w:rsidR="00303994" w14:paraId="39C05FE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1CEDA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D61395" w14:textId="77777777" w:rsidR="00303994" w:rsidRDefault="00303994" w:rsidP="00F0287B">
            <w:pPr>
              <w:spacing w:before="43" w:after="30" w:line="300" w:lineRule="auto"/>
              <w:ind w:left="55"/>
            </w:pPr>
            <w:r>
              <w:rPr>
                <w:b/>
                <w:color w:val="454545"/>
              </w:rPr>
              <w:t xml:space="preserve">Shandong </w:t>
            </w:r>
            <w:proofErr w:type="spellStart"/>
            <w:r>
              <w:rPr>
                <w:b/>
                <w:color w:val="454545"/>
              </w:rPr>
              <w:t>Humon</w:t>
            </w:r>
            <w:proofErr w:type="spellEnd"/>
            <w:r>
              <w:rPr>
                <w:b/>
                <w:color w:val="454545"/>
              </w:rPr>
              <w:t xml:space="preserve"> Smelting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CBA14E4" w14:textId="77777777" w:rsidR="00303994" w:rsidRDefault="00303994" w:rsidP="00F0287B">
            <w:pPr>
              <w:spacing w:before="43" w:after="30" w:line="300" w:lineRule="auto"/>
              <w:ind w:left="55"/>
            </w:pPr>
            <w:r>
              <w:rPr>
                <w:b/>
                <w:color w:val="454545"/>
              </w:rPr>
              <w:t>CID002525</w:t>
            </w:r>
          </w:p>
        </w:tc>
      </w:tr>
      <w:tr w:rsidR="00303994" w14:paraId="207D8BE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42BB1C7"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4FF41D" w14:textId="77777777" w:rsidR="00303994" w:rsidRDefault="00303994" w:rsidP="00F0287B">
            <w:pPr>
              <w:spacing w:before="43" w:after="30" w:line="300" w:lineRule="auto"/>
              <w:ind w:left="55"/>
            </w:pPr>
            <w:r>
              <w:rPr>
                <w:b/>
                <w:color w:val="454545"/>
              </w:rPr>
              <w:t>International Precious Metal Refiners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554C7B1" w14:textId="77777777" w:rsidR="00303994" w:rsidRDefault="00303994" w:rsidP="00F0287B">
            <w:pPr>
              <w:spacing w:before="43" w:after="30" w:line="300" w:lineRule="auto"/>
              <w:ind w:left="55"/>
            </w:pPr>
            <w:r>
              <w:rPr>
                <w:b/>
                <w:color w:val="454545"/>
              </w:rPr>
              <w:t>CID002562</w:t>
            </w:r>
          </w:p>
        </w:tc>
      </w:tr>
      <w:tr w:rsidR="00303994" w14:paraId="4149B23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B6CABA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0303BB" w14:textId="77777777" w:rsidR="00303994" w:rsidRDefault="00303994" w:rsidP="00F0287B">
            <w:pPr>
              <w:spacing w:before="43" w:after="30" w:line="300" w:lineRule="auto"/>
              <w:ind w:left="55"/>
            </w:pPr>
            <w:r>
              <w:rPr>
                <w:b/>
                <w:color w:val="454545"/>
              </w:rPr>
              <w:t>Fujairah Gold FZC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5B30EC1" w14:textId="77777777" w:rsidR="00303994" w:rsidRDefault="00303994" w:rsidP="00F0287B">
            <w:pPr>
              <w:spacing w:before="43" w:after="30" w:line="300" w:lineRule="auto"/>
              <w:ind w:left="55"/>
            </w:pPr>
            <w:r>
              <w:rPr>
                <w:b/>
                <w:color w:val="454545"/>
              </w:rPr>
              <w:t>CID002584</w:t>
            </w:r>
          </w:p>
        </w:tc>
      </w:tr>
      <w:tr w:rsidR="00303994" w14:paraId="11AB746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346D95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00CFE5B" w14:textId="77777777" w:rsidR="00303994" w:rsidRDefault="00303994" w:rsidP="00F0287B">
            <w:pPr>
              <w:spacing w:before="43" w:after="30" w:line="300" w:lineRule="auto"/>
              <w:ind w:left="55"/>
            </w:pPr>
            <w:r>
              <w:rPr>
                <w:b/>
                <w:color w:val="454545"/>
              </w:rPr>
              <w:t xml:space="preserve">Abington </w:t>
            </w:r>
            <w:proofErr w:type="spellStart"/>
            <w:r>
              <w:rPr>
                <w:b/>
                <w:color w:val="454545"/>
              </w:rPr>
              <w:t>Reldan</w:t>
            </w:r>
            <w:proofErr w:type="spellEnd"/>
            <w:r>
              <w:rPr>
                <w:b/>
                <w:color w:val="454545"/>
              </w:rPr>
              <w:t xml:space="preserve"> Metals,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D86A66C" w14:textId="77777777" w:rsidR="00303994" w:rsidRDefault="00303994" w:rsidP="00F0287B">
            <w:pPr>
              <w:spacing w:before="43" w:after="30" w:line="300" w:lineRule="auto"/>
              <w:ind w:left="55"/>
            </w:pPr>
            <w:r>
              <w:rPr>
                <w:b/>
                <w:color w:val="454545"/>
              </w:rPr>
              <w:t>CID002708</w:t>
            </w:r>
          </w:p>
        </w:tc>
      </w:tr>
      <w:tr w:rsidR="00303994" w14:paraId="50C7FB9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99C330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85DAD0A" w14:textId="77777777" w:rsidR="00303994" w:rsidRDefault="00303994" w:rsidP="00F0287B">
            <w:pPr>
              <w:spacing w:before="43" w:after="30" w:line="300" w:lineRule="auto"/>
              <w:ind w:left="55"/>
            </w:pPr>
            <w:r>
              <w:rPr>
                <w:b/>
                <w:color w:val="454545"/>
              </w:rPr>
              <w:t>Sai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CC44641" w14:textId="77777777" w:rsidR="00303994" w:rsidRDefault="00303994" w:rsidP="00F0287B">
            <w:pPr>
              <w:spacing w:before="43" w:after="30" w:line="300" w:lineRule="auto"/>
              <w:ind w:left="55"/>
            </w:pPr>
            <w:r>
              <w:rPr>
                <w:b/>
                <w:color w:val="454545"/>
              </w:rPr>
              <w:t>CID002853</w:t>
            </w:r>
          </w:p>
        </w:tc>
      </w:tr>
      <w:tr w:rsidR="00303994" w14:paraId="6B6361B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30A95E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824DF62" w14:textId="77777777" w:rsidR="00303994" w:rsidRDefault="00303994" w:rsidP="00F0287B">
            <w:pPr>
              <w:spacing w:before="43" w:after="30" w:line="300" w:lineRule="auto"/>
              <w:ind w:left="55"/>
            </w:pPr>
            <w:proofErr w:type="spellStart"/>
            <w:r>
              <w:rPr>
                <w:b/>
                <w:color w:val="454545"/>
              </w:rPr>
              <w:t>Modeltech</w:t>
            </w:r>
            <w:proofErr w:type="spellEnd"/>
            <w:r>
              <w:rPr>
                <w:b/>
                <w:color w:val="454545"/>
              </w:rPr>
              <w:t xml:space="preserve"> </w:t>
            </w:r>
            <w:proofErr w:type="spellStart"/>
            <w:r>
              <w:rPr>
                <w:b/>
                <w:color w:val="454545"/>
              </w:rPr>
              <w:t>Sdn</w:t>
            </w:r>
            <w:proofErr w:type="spellEnd"/>
            <w:r>
              <w:rPr>
                <w:b/>
                <w:color w:val="454545"/>
              </w:rPr>
              <w:t xml:space="preserve"> </w:t>
            </w:r>
            <w:proofErr w:type="spellStart"/>
            <w:r>
              <w:rPr>
                <w:b/>
                <w:color w:val="454545"/>
              </w:rPr>
              <w:t>Bhd</w:t>
            </w:r>
            <w:proofErr w:type="spellEnd"/>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99A9C19" w14:textId="77777777" w:rsidR="00303994" w:rsidRDefault="00303994" w:rsidP="00F0287B">
            <w:pPr>
              <w:spacing w:before="43" w:after="30" w:line="300" w:lineRule="auto"/>
              <w:ind w:left="55"/>
            </w:pPr>
            <w:r>
              <w:rPr>
                <w:b/>
                <w:color w:val="454545"/>
              </w:rPr>
              <w:t>CID002857</w:t>
            </w:r>
          </w:p>
        </w:tc>
      </w:tr>
      <w:tr w:rsidR="00303994" w14:paraId="3E6A68D9"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EA7B1B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25ABC55" w14:textId="77777777" w:rsidR="00303994" w:rsidRDefault="00303994" w:rsidP="00F0287B">
            <w:pPr>
              <w:spacing w:before="43" w:after="30" w:line="300" w:lineRule="auto"/>
              <w:ind w:left="55"/>
            </w:pPr>
            <w:proofErr w:type="spellStart"/>
            <w:r>
              <w:rPr>
                <w:b/>
                <w:color w:val="454545"/>
              </w:rPr>
              <w:t>Kyshtym</w:t>
            </w:r>
            <w:proofErr w:type="spellEnd"/>
            <w:r>
              <w:rPr>
                <w:b/>
                <w:color w:val="454545"/>
              </w:rPr>
              <w:t xml:space="preserve"> Copper-Electrolytic Plant ZAO</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DF801D0" w14:textId="77777777" w:rsidR="00303994" w:rsidRDefault="00303994" w:rsidP="00F0287B">
            <w:pPr>
              <w:spacing w:before="43" w:after="30" w:line="300" w:lineRule="auto"/>
              <w:ind w:left="55"/>
            </w:pPr>
            <w:r>
              <w:rPr>
                <w:b/>
                <w:color w:val="454545"/>
              </w:rPr>
              <w:t>CID002865</w:t>
            </w:r>
          </w:p>
        </w:tc>
      </w:tr>
      <w:tr w:rsidR="00303994" w14:paraId="452E6F8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3450FF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B826D57" w14:textId="77777777" w:rsidR="00303994" w:rsidRDefault="00303994" w:rsidP="00F0287B">
            <w:pPr>
              <w:spacing w:before="43" w:after="30" w:line="300" w:lineRule="auto"/>
              <w:ind w:left="55"/>
            </w:pPr>
            <w:r>
              <w:rPr>
                <w:b/>
                <w:color w:val="454545"/>
              </w:rPr>
              <w:t xml:space="preserve">Degussa </w:t>
            </w:r>
            <w:proofErr w:type="spellStart"/>
            <w:r>
              <w:rPr>
                <w:b/>
                <w:color w:val="454545"/>
              </w:rPr>
              <w:t>Sonne</w:t>
            </w:r>
            <w:proofErr w:type="spellEnd"/>
            <w:r>
              <w:rPr>
                <w:b/>
                <w:color w:val="454545"/>
              </w:rPr>
              <w:t xml:space="preserve"> / Mond </w:t>
            </w:r>
            <w:proofErr w:type="spellStart"/>
            <w:r>
              <w:rPr>
                <w:b/>
                <w:color w:val="454545"/>
              </w:rPr>
              <w:t>Goldhandel</w:t>
            </w:r>
            <w:proofErr w:type="spellEnd"/>
            <w:r>
              <w:rPr>
                <w:b/>
                <w:color w:val="454545"/>
              </w:rPr>
              <w:t xml:space="preserve"> GmbH</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5A9910D" w14:textId="77777777" w:rsidR="00303994" w:rsidRDefault="00303994" w:rsidP="00F0287B">
            <w:pPr>
              <w:spacing w:before="43" w:after="30" w:line="300" w:lineRule="auto"/>
              <w:ind w:left="55"/>
            </w:pPr>
            <w:r>
              <w:rPr>
                <w:b/>
                <w:color w:val="454545"/>
              </w:rPr>
              <w:t>CID002867</w:t>
            </w:r>
          </w:p>
        </w:tc>
      </w:tr>
      <w:tr w:rsidR="00303994" w14:paraId="4FFDC1D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792C5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0A5E196" w14:textId="77777777" w:rsidR="00303994" w:rsidRDefault="00303994" w:rsidP="00F0287B">
            <w:pPr>
              <w:spacing w:before="43" w:after="30" w:line="300" w:lineRule="auto"/>
              <w:ind w:left="55"/>
            </w:pPr>
            <w:r>
              <w:rPr>
                <w:b/>
                <w:color w:val="454545"/>
              </w:rPr>
              <w:t xml:space="preserve">Pease &amp; </w:t>
            </w:r>
            <w:proofErr w:type="spellStart"/>
            <w:r>
              <w:rPr>
                <w:b/>
                <w:color w:val="454545"/>
              </w:rPr>
              <w:t>Curren</w:t>
            </w:r>
            <w:proofErr w:type="spellEnd"/>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6CC203E" w14:textId="77777777" w:rsidR="00303994" w:rsidRDefault="00303994" w:rsidP="00F0287B">
            <w:pPr>
              <w:spacing w:before="43" w:after="30" w:line="300" w:lineRule="auto"/>
              <w:ind w:left="55"/>
            </w:pPr>
            <w:r>
              <w:rPr>
                <w:b/>
                <w:color w:val="454545"/>
              </w:rPr>
              <w:t>CID002872</w:t>
            </w:r>
          </w:p>
        </w:tc>
      </w:tr>
      <w:tr w:rsidR="00303994" w14:paraId="19466F1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50139D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15529D" w14:textId="77777777" w:rsidR="00303994" w:rsidRDefault="00303994" w:rsidP="00F0287B">
            <w:pPr>
              <w:spacing w:before="43" w:after="30" w:line="300" w:lineRule="auto"/>
              <w:ind w:left="55"/>
            </w:pPr>
            <w:r>
              <w:rPr>
                <w:b/>
                <w:color w:val="454545"/>
              </w:rPr>
              <w:t>QG Refining, LLC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C0F1285" w14:textId="77777777" w:rsidR="00303994" w:rsidRDefault="00303994" w:rsidP="00F0287B">
            <w:pPr>
              <w:spacing w:before="43" w:after="30" w:line="300" w:lineRule="auto"/>
              <w:ind w:left="55"/>
            </w:pPr>
            <w:r>
              <w:rPr>
                <w:b/>
                <w:color w:val="454545"/>
              </w:rPr>
              <w:t>CID003324</w:t>
            </w:r>
          </w:p>
        </w:tc>
      </w:tr>
      <w:tr w:rsidR="00303994" w14:paraId="289C861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E20285C" w14:textId="77777777" w:rsidR="00303994" w:rsidRDefault="00303994" w:rsidP="00F0287B">
            <w:pPr>
              <w:spacing w:before="43" w:after="30" w:line="300" w:lineRule="auto"/>
              <w:ind w:left="55"/>
            </w:pPr>
            <w:r>
              <w:rPr>
                <w:b/>
                <w:color w:val="454545"/>
              </w:rPr>
              <w:lastRenderedPageBreak/>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2B91FF2" w14:textId="77777777" w:rsidR="00303994" w:rsidRDefault="00303994" w:rsidP="00F0287B">
            <w:pPr>
              <w:spacing w:before="43" w:after="30" w:line="300" w:lineRule="auto"/>
              <w:ind w:left="55"/>
            </w:pPr>
            <w:proofErr w:type="spellStart"/>
            <w:r>
              <w:rPr>
                <w:b/>
                <w:color w:val="454545"/>
              </w:rPr>
              <w:t>Dijllah</w:t>
            </w:r>
            <w:proofErr w:type="spellEnd"/>
            <w:r>
              <w:rPr>
                <w:b/>
                <w:color w:val="454545"/>
              </w:rPr>
              <w:t xml:space="preserve"> Gold Refinery FZC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30B6E8A" w14:textId="77777777" w:rsidR="00303994" w:rsidRDefault="00303994" w:rsidP="00F0287B">
            <w:pPr>
              <w:spacing w:before="43" w:after="30" w:line="300" w:lineRule="auto"/>
              <w:ind w:left="55"/>
            </w:pPr>
            <w:r>
              <w:rPr>
                <w:b/>
                <w:color w:val="454545"/>
              </w:rPr>
              <w:t>CID003348</w:t>
            </w:r>
          </w:p>
        </w:tc>
      </w:tr>
      <w:tr w:rsidR="00303994" w14:paraId="1E4131D6"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7CFFD2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2FF692" w14:textId="77777777" w:rsidR="00303994" w:rsidRDefault="00303994" w:rsidP="00F0287B">
            <w:pPr>
              <w:spacing w:before="43" w:after="30" w:line="300" w:lineRule="auto"/>
              <w:ind w:left="55"/>
            </w:pPr>
            <w:r>
              <w:rPr>
                <w:b/>
                <w:color w:val="454545"/>
              </w:rPr>
              <w:t xml:space="preserve">CGR </w:t>
            </w:r>
            <w:proofErr w:type="spellStart"/>
            <w:r>
              <w:rPr>
                <w:b/>
                <w:color w:val="454545"/>
              </w:rPr>
              <w:t>Metalloys</w:t>
            </w:r>
            <w:proofErr w:type="spellEnd"/>
            <w:r>
              <w:rPr>
                <w:b/>
                <w:color w:val="454545"/>
              </w:rPr>
              <w:t xml:space="preserve"> Pvt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8130F5D" w14:textId="77777777" w:rsidR="00303994" w:rsidRDefault="00303994" w:rsidP="00F0287B">
            <w:pPr>
              <w:spacing w:before="43" w:after="30" w:line="300" w:lineRule="auto"/>
              <w:ind w:left="55"/>
            </w:pPr>
            <w:r>
              <w:rPr>
                <w:b/>
                <w:color w:val="454545"/>
              </w:rPr>
              <w:t>CID003382</w:t>
            </w:r>
          </w:p>
        </w:tc>
      </w:tr>
      <w:tr w:rsidR="00303994" w14:paraId="3C82083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621AA6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493B63F" w14:textId="77777777" w:rsidR="00303994" w:rsidRDefault="00303994" w:rsidP="00F0287B">
            <w:pPr>
              <w:spacing w:before="43" w:after="30" w:line="300" w:lineRule="auto"/>
              <w:ind w:left="55"/>
            </w:pPr>
            <w:r>
              <w:rPr>
                <w:b/>
                <w:color w:val="454545"/>
              </w:rPr>
              <w:t>Sovereign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1C34D88" w14:textId="77777777" w:rsidR="00303994" w:rsidRDefault="00303994" w:rsidP="00F0287B">
            <w:pPr>
              <w:spacing w:before="43" w:after="30" w:line="300" w:lineRule="auto"/>
              <w:ind w:left="55"/>
            </w:pPr>
            <w:r>
              <w:rPr>
                <w:b/>
                <w:color w:val="454545"/>
              </w:rPr>
              <w:t>CID003383</w:t>
            </w:r>
          </w:p>
        </w:tc>
      </w:tr>
      <w:tr w:rsidR="00303994" w14:paraId="7E089E9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380F29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E7F4A1" w14:textId="77777777" w:rsidR="00303994" w:rsidRDefault="00303994" w:rsidP="00F0287B">
            <w:pPr>
              <w:spacing w:before="43" w:after="30" w:line="300" w:lineRule="auto"/>
              <w:ind w:left="55"/>
            </w:pPr>
            <w:proofErr w:type="spellStart"/>
            <w:r>
              <w:rPr>
                <w:b/>
                <w:color w:val="454545"/>
              </w:rPr>
              <w:t>Sancus</w:t>
            </w:r>
            <w:proofErr w:type="spellEnd"/>
            <w:r>
              <w:rPr>
                <w:b/>
                <w:color w:val="454545"/>
              </w:rPr>
              <w:t xml:space="preserve"> ZFS (</w:t>
            </w:r>
            <w:proofErr w:type="spellStart"/>
            <w:r>
              <w:rPr>
                <w:b/>
                <w:color w:val="454545"/>
              </w:rPr>
              <w:t>L’Orfebre</w:t>
            </w:r>
            <w:proofErr w:type="spellEnd"/>
            <w:r>
              <w:rPr>
                <w:b/>
                <w:color w:val="454545"/>
              </w:rPr>
              <w:t>, SA)**</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1A0B9E7" w14:textId="77777777" w:rsidR="00303994" w:rsidRDefault="00303994" w:rsidP="00F0287B">
            <w:pPr>
              <w:spacing w:before="43" w:after="30" w:line="300" w:lineRule="auto"/>
              <w:ind w:left="55"/>
            </w:pPr>
            <w:r>
              <w:rPr>
                <w:b/>
                <w:color w:val="454545"/>
              </w:rPr>
              <w:t>CID003529</w:t>
            </w:r>
          </w:p>
        </w:tc>
      </w:tr>
      <w:tr w:rsidR="00303994" w14:paraId="35B2D03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B9189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6F13DEE" w14:textId="77777777" w:rsidR="00303994" w:rsidRDefault="00303994" w:rsidP="00F0287B">
            <w:pPr>
              <w:spacing w:before="43" w:after="30" w:line="300" w:lineRule="auto"/>
              <w:ind w:left="55"/>
            </w:pPr>
            <w:r>
              <w:rPr>
                <w:b/>
                <w:color w:val="454545"/>
              </w:rPr>
              <w:t>African Gold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FE1D4F0" w14:textId="77777777" w:rsidR="00303994" w:rsidRDefault="00303994" w:rsidP="00F0287B">
            <w:pPr>
              <w:spacing w:before="43" w:after="30" w:line="300" w:lineRule="auto"/>
              <w:ind w:left="55"/>
            </w:pPr>
            <w:r>
              <w:rPr>
                <w:b/>
                <w:color w:val="454545"/>
              </w:rPr>
              <w:t>CID003185</w:t>
            </w:r>
          </w:p>
        </w:tc>
      </w:tr>
      <w:tr w:rsidR="00303994" w14:paraId="0F3432C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7EB477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822815F" w14:textId="77777777" w:rsidR="00303994" w:rsidRDefault="00303994" w:rsidP="00F0287B">
            <w:pPr>
              <w:spacing w:before="43" w:after="30" w:line="300" w:lineRule="auto"/>
              <w:ind w:left="55"/>
            </w:pPr>
            <w:proofErr w:type="spellStart"/>
            <w:r>
              <w:rPr>
                <w:b/>
                <w:color w:val="454545"/>
              </w:rPr>
              <w:t>Atasay</w:t>
            </w:r>
            <w:proofErr w:type="spellEnd"/>
            <w:r>
              <w:rPr>
                <w:b/>
                <w:color w:val="454545"/>
              </w:rPr>
              <w:t xml:space="preserve"> </w:t>
            </w:r>
            <w:proofErr w:type="spellStart"/>
            <w:r>
              <w:rPr>
                <w:b/>
                <w:color w:val="454545"/>
              </w:rPr>
              <w:t>Kuyumculuk</w:t>
            </w:r>
            <w:proofErr w:type="spellEnd"/>
            <w:r>
              <w:rPr>
                <w:b/>
                <w:color w:val="454545"/>
              </w:rPr>
              <w:t xml:space="preserve"> Sanayi </w:t>
            </w:r>
            <w:proofErr w:type="spellStart"/>
            <w:r>
              <w:rPr>
                <w:b/>
                <w:color w:val="454545"/>
              </w:rPr>
              <w:t>Ve</w:t>
            </w:r>
            <w:proofErr w:type="spellEnd"/>
            <w:r>
              <w:rPr>
                <w:b/>
                <w:color w:val="454545"/>
              </w:rPr>
              <w:t xml:space="preserve"> </w:t>
            </w:r>
            <w:proofErr w:type="spellStart"/>
            <w:r>
              <w:rPr>
                <w:b/>
                <w:color w:val="454545"/>
              </w:rPr>
              <w:t>Ticaret</w:t>
            </w:r>
            <w:proofErr w:type="spellEnd"/>
            <w:r>
              <w:rPr>
                <w:b/>
                <w:color w:val="454545"/>
              </w:rPr>
              <w:t xml:space="preserve"> A.S.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EC9CFC3" w14:textId="77777777" w:rsidR="00303994" w:rsidRDefault="00303994" w:rsidP="00F0287B">
            <w:pPr>
              <w:spacing w:before="43" w:after="30" w:line="300" w:lineRule="auto"/>
              <w:ind w:left="55"/>
            </w:pPr>
            <w:r>
              <w:rPr>
                <w:b/>
                <w:color w:val="454545"/>
              </w:rPr>
              <w:t>CID000103</w:t>
            </w:r>
          </w:p>
        </w:tc>
      </w:tr>
      <w:tr w:rsidR="00303994" w14:paraId="687632C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08D967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2D27C0C" w14:textId="77777777" w:rsidR="00303994" w:rsidRDefault="00303994" w:rsidP="00F0287B">
            <w:pPr>
              <w:spacing w:before="43" w:after="30" w:line="300" w:lineRule="auto"/>
              <w:ind w:left="55"/>
            </w:pPr>
            <w:r>
              <w:rPr>
                <w:b/>
                <w:color w:val="454545"/>
              </w:rPr>
              <w:t>Fidelity Printers and Refiners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FED94E7" w14:textId="77777777" w:rsidR="00303994" w:rsidRDefault="00303994" w:rsidP="00F0287B">
            <w:pPr>
              <w:spacing w:before="43" w:after="30" w:line="300" w:lineRule="auto"/>
              <w:ind w:left="55"/>
            </w:pPr>
            <w:r>
              <w:rPr>
                <w:b/>
                <w:color w:val="454545"/>
              </w:rPr>
              <w:t>CID002515</w:t>
            </w:r>
          </w:p>
        </w:tc>
      </w:tr>
      <w:tr w:rsidR="00303994" w14:paraId="68C131CD"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198662A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3840F50" w14:textId="77777777" w:rsidR="00303994" w:rsidRDefault="00303994" w:rsidP="00F0287B">
            <w:pPr>
              <w:spacing w:before="43" w:after="30" w:line="300" w:lineRule="auto"/>
              <w:ind w:left="55"/>
            </w:pPr>
            <w:r>
              <w:rPr>
                <w:b/>
                <w:color w:val="454545"/>
              </w:rPr>
              <w:t>JALAN &amp;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C4C5E10" w14:textId="77777777" w:rsidR="00303994" w:rsidRDefault="00303994" w:rsidP="00F0287B">
            <w:pPr>
              <w:spacing w:before="43" w:after="30" w:line="300" w:lineRule="auto"/>
              <w:ind w:left="55"/>
            </w:pPr>
            <w:r>
              <w:rPr>
                <w:b/>
                <w:color w:val="454545"/>
              </w:rPr>
              <w:t>CID002893</w:t>
            </w:r>
          </w:p>
        </w:tc>
      </w:tr>
      <w:tr w:rsidR="00303994" w14:paraId="3BB851B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A062D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1FC6BA7" w14:textId="77777777" w:rsidR="00303994" w:rsidRDefault="00303994" w:rsidP="00F0287B">
            <w:pPr>
              <w:spacing w:before="43" w:after="30" w:line="300" w:lineRule="auto"/>
              <w:ind w:left="55"/>
            </w:pPr>
            <w:r>
              <w:rPr>
                <w:b/>
                <w:color w:val="454545"/>
              </w:rPr>
              <w:t>JSC Ekaterinburg Non-Ferrous Metal Processing Plant</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BBAE38D" w14:textId="77777777" w:rsidR="00303994" w:rsidRDefault="00303994" w:rsidP="00F0287B">
            <w:pPr>
              <w:spacing w:before="43" w:after="30" w:line="300" w:lineRule="auto"/>
              <w:ind w:left="55"/>
            </w:pPr>
            <w:r>
              <w:rPr>
                <w:b/>
                <w:color w:val="454545"/>
              </w:rPr>
              <w:t>CID000927</w:t>
            </w:r>
          </w:p>
        </w:tc>
      </w:tr>
      <w:tr w:rsidR="00303994" w14:paraId="32626E5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922D95B"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8F93AAC" w14:textId="77777777" w:rsidR="00303994" w:rsidRDefault="00303994" w:rsidP="00F0287B">
            <w:pPr>
              <w:spacing w:before="43" w:after="30" w:line="300" w:lineRule="auto"/>
              <w:ind w:left="55"/>
            </w:pPr>
            <w:proofErr w:type="spellStart"/>
            <w:r>
              <w:rPr>
                <w:b/>
                <w:color w:val="454545"/>
              </w:rPr>
              <w:t>Kaloti</w:t>
            </w:r>
            <w:proofErr w:type="spellEnd"/>
            <w:r>
              <w:rPr>
                <w:b/>
                <w:color w:val="454545"/>
              </w:rPr>
              <w:t xml:space="preserve"> Precious Metals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C4C9E51" w14:textId="77777777" w:rsidR="00303994" w:rsidRDefault="00303994" w:rsidP="00F0287B">
            <w:pPr>
              <w:spacing w:before="43" w:after="30" w:line="300" w:lineRule="auto"/>
              <w:ind w:left="55"/>
            </w:pPr>
            <w:r>
              <w:rPr>
                <w:b/>
                <w:color w:val="454545"/>
              </w:rPr>
              <w:t>CID002563</w:t>
            </w:r>
          </w:p>
        </w:tc>
      </w:tr>
      <w:tr w:rsidR="00303994" w14:paraId="181437D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530663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CCEE916" w14:textId="77777777" w:rsidR="00303994" w:rsidRDefault="00303994" w:rsidP="00F0287B">
            <w:pPr>
              <w:spacing w:before="43" w:after="30" w:line="300" w:lineRule="auto"/>
              <w:ind w:left="55"/>
            </w:pPr>
            <w:proofErr w:type="spellStart"/>
            <w:r>
              <w:rPr>
                <w:b/>
                <w:color w:val="454545"/>
              </w:rPr>
              <w:t>L'azurde</w:t>
            </w:r>
            <w:proofErr w:type="spellEnd"/>
            <w:r>
              <w:rPr>
                <w:b/>
                <w:color w:val="454545"/>
              </w:rPr>
              <w:t xml:space="preserve"> Company For Jewelry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8D0A9F1" w14:textId="77777777" w:rsidR="00303994" w:rsidRDefault="00303994" w:rsidP="00F0287B">
            <w:pPr>
              <w:spacing w:before="43" w:after="30" w:line="300" w:lineRule="auto"/>
              <w:ind w:left="55"/>
            </w:pPr>
            <w:r>
              <w:rPr>
                <w:b/>
                <w:color w:val="454545"/>
              </w:rPr>
              <w:t>CID001032</w:t>
            </w:r>
          </w:p>
        </w:tc>
      </w:tr>
      <w:tr w:rsidR="00303994" w14:paraId="76056C44"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AAE791C"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26910BE" w14:textId="77777777" w:rsidR="00303994" w:rsidRDefault="00303994" w:rsidP="00F0287B">
            <w:pPr>
              <w:spacing w:before="43" w:after="30" w:line="300" w:lineRule="auto"/>
              <w:ind w:left="55"/>
            </w:pPr>
            <w:r>
              <w:rPr>
                <w:b/>
                <w:color w:val="454545"/>
              </w:rPr>
              <w:t xml:space="preserve">NH </w:t>
            </w:r>
            <w:proofErr w:type="spellStart"/>
            <w:r>
              <w:rPr>
                <w:b/>
                <w:color w:val="454545"/>
              </w:rPr>
              <w:t>Recytech</w:t>
            </w:r>
            <w:proofErr w:type="spellEnd"/>
            <w:r>
              <w:rPr>
                <w:b/>
                <w:color w:val="454545"/>
              </w:rPr>
              <w:t xml:space="preserve"> Company**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3B4469A" w14:textId="77777777" w:rsidR="00303994" w:rsidRDefault="00303994" w:rsidP="00F0287B">
            <w:pPr>
              <w:spacing w:before="43" w:after="30" w:line="300" w:lineRule="auto"/>
              <w:ind w:left="55"/>
            </w:pPr>
            <w:r>
              <w:rPr>
                <w:b/>
                <w:color w:val="454545"/>
              </w:rPr>
              <w:t>CID003189</w:t>
            </w:r>
          </w:p>
        </w:tc>
      </w:tr>
      <w:tr w:rsidR="00303994" w14:paraId="670805C1"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917633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14702CA" w14:textId="77777777" w:rsidR="00303994" w:rsidRDefault="00303994" w:rsidP="00F0287B">
            <w:pPr>
              <w:spacing w:before="43" w:after="30" w:line="300" w:lineRule="auto"/>
              <w:ind w:left="55"/>
            </w:pPr>
            <w:proofErr w:type="spellStart"/>
            <w:r>
              <w:rPr>
                <w:b/>
                <w:color w:val="454545"/>
              </w:rPr>
              <w:t>Shirpur</w:t>
            </w:r>
            <w:proofErr w:type="spellEnd"/>
            <w:r>
              <w:rPr>
                <w:b/>
                <w:color w:val="454545"/>
              </w:rPr>
              <w:t xml:space="preserve"> Gold Refinery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C42BAE0" w14:textId="77777777" w:rsidR="00303994" w:rsidRDefault="00303994" w:rsidP="00F0287B">
            <w:pPr>
              <w:spacing w:before="43" w:after="30" w:line="300" w:lineRule="auto"/>
              <w:ind w:left="55"/>
            </w:pPr>
            <w:r>
              <w:rPr>
                <w:b/>
                <w:color w:val="454545"/>
              </w:rPr>
              <w:t>CID002588</w:t>
            </w:r>
          </w:p>
        </w:tc>
      </w:tr>
      <w:tr w:rsidR="00303994" w14:paraId="52BB11A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9D1A9E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B701F98" w14:textId="77777777" w:rsidR="00303994" w:rsidRDefault="00303994" w:rsidP="00F0287B">
            <w:pPr>
              <w:spacing w:before="43" w:after="30" w:line="300" w:lineRule="auto"/>
              <w:ind w:left="55"/>
            </w:pPr>
            <w:r>
              <w:rPr>
                <w:b/>
                <w:color w:val="454545"/>
              </w:rPr>
              <w:t xml:space="preserve">Shenzhen </w:t>
            </w:r>
            <w:proofErr w:type="spellStart"/>
            <w:r>
              <w:rPr>
                <w:b/>
                <w:color w:val="454545"/>
              </w:rPr>
              <w:t>Zhonghenglong</w:t>
            </w:r>
            <w:proofErr w:type="spellEnd"/>
            <w:r>
              <w:rPr>
                <w:b/>
                <w:color w:val="454545"/>
              </w:rPr>
              <w:t xml:space="preserve"> Real Industry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78DCCA" w14:textId="77777777" w:rsidR="00303994" w:rsidRDefault="00303994" w:rsidP="00F0287B">
            <w:pPr>
              <w:spacing w:before="43" w:after="30" w:line="300" w:lineRule="auto"/>
              <w:ind w:left="55"/>
            </w:pPr>
            <w:r>
              <w:rPr>
                <w:b/>
                <w:color w:val="454545"/>
              </w:rPr>
              <w:t>CID002527</w:t>
            </w:r>
          </w:p>
        </w:tc>
      </w:tr>
      <w:tr w:rsidR="00303994" w14:paraId="0237A0D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DA19041"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A280439" w14:textId="77777777" w:rsidR="00303994" w:rsidRDefault="00303994" w:rsidP="00F0287B">
            <w:pPr>
              <w:spacing w:before="43" w:after="30" w:line="300" w:lineRule="auto"/>
              <w:ind w:left="55"/>
            </w:pPr>
            <w:r>
              <w:rPr>
                <w:b/>
                <w:color w:val="454545"/>
              </w:rPr>
              <w:t>Kundan Care Products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C36ED3B" w14:textId="77777777" w:rsidR="00303994" w:rsidRDefault="00303994" w:rsidP="00F0287B">
            <w:pPr>
              <w:spacing w:before="43" w:after="30" w:line="300" w:lineRule="auto"/>
              <w:ind w:left="55"/>
            </w:pPr>
            <w:r>
              <w:rPr>
                <w:b/>
                <w:color w:val="454545"/>
              </w:rPr>
              <w:t>CID003463</w:t>
            </w:r>
          </w:p>
        </w:tc>
      </w:tr>
      <w:tr w:rsidR="00303994" w14:paraId="1003D918"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B22189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6174E4D" w14:textId="77777777" w:rsidR="00303994" w:rsidRDefault="00303994" w:rsidP="00F0287B">
            <w:pPr>
              <w:spacing w:before="43" w:after="30" w:line="300" w:lineRule="auto"/>
              <w:ind w:left="55"/>
            </w:pPr>
            <w:r>
              <w:rPr>
                <w:b/>
                <w:color w:val="454545"/>
              </w:rPr>
              <w:t>Emerald Jewel Industry India Limited (Unit 1)</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5723B5D7" w14:textId="77777777" w:rsidR="00303994" w:rsidRDefault="00303994" w:rsidP="00F0287B">
            <w:pPr>
              <w:spacing w:before="43" w:after="30" w:line="300" w:lineRule="auto"/>
              <w:ind w:left="55"/>
            </w:pPr>
            <w:r>
              <w:rPr>
                <w:b/>
                <w:color w:val="454545"/>
              </w:rPr>
              <w:t>CID003487</w:t>
            </w:r>
          </w:p>
        </w:tc>
      </w:tr>
      <w:tr w:rsidR="00303994" w14:paraId="641AC065"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EAC14F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AADC1EB" w14:textId="77777777" w:rsidR="00303994" w:rsidRDefault="00303994" w:rsidP="00F0287B">
            <w:pPr>
              <w:spacing w:before="43" w:after="30" w:line="300" w:lineRule="auto"/>
              <w:ind w:left="55"/>
            </w:pPr>
            <w:r>
              <w:rPr>
                <w:b/>
                <w:color w:val="454545"/>
              </w:rPr>
              <w:t>Emerald Jewel Industry India Limited (Unit 2)</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66F51B07" w14:textId="77777777" w:rsidR="00303994" w:rsidRDefault="00303994" w:rsidP="00F0287B">
            <w:pPr>
              <w:spacing w:before="43" w:after="30" w:line="300" w:lineRule="auto"/>
              <w:ind w:left="55"/>
            </w:pPr>
            <w:r>
              <w:rPr>
                <w:b/>
                <w:color w:val="454545"/>
              </w:rPr>
              <w:t>CID003488</w:t>
            </w:r>
          </w:p>
        </w:tc>
      </w:tr>
      <w:tr w:rsidR="00303994" w14:paraId="74B87CF2"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153CF43"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7431EBF" w14:textId="77777777" w:rsidR="00303994" w:rsidRDefault="00303994" w:rsidP="00F0287B">
            <w:pPr>
              <w:spacing w:before="43" w:after="30" w:line="300" w:lineRule="auto"/>
              <w:ind w:left="55"/>
            </w:pPr>
            <w:r>
              <w:rPr>
                <w:b/>
                <w:color w:val="454545"/>
              </w:rPr>
              <w:t>Emerald Jewel Industry India Limited (Unit 3)</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24FF6453" w14:textId="77777777" w:rsidR="00303994" w:rsidRDefault="00303994" w:rsidP="00F0287B">
            <w:pPr>
              <w:spacing w:before="43" w:after="30" w:line="300" w:lineRule="auto"/>
              <w:ind w:left="55"/>
            </w:pPr>
            <w:r>
              <w:rPr>
                <w:b/>
                <w:color w:val="454545"/>
              </w:rPr>
              <w:t>CID003489</w:t>
            </w:r>
          </w:p>
        </w:tc>
      </w:tr>
      <w:tr w:rsidR="00303994" w14:paraId="4491E53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49E43FA"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6A2B599" w14:textId="77777777" w:rsidR="00303994" w:rsidRDefault="00303994" w:rsidP="00F0287B">
            <w:pPr>
              <w:spacing w:before="43" w:after="30" w:line="300" w:lineRule="auto"/>
              <w:ind w:left="55"/>
            </w:pPr>
            <w:r>
              <w:rPr>
                <w:b/>
                <w:color w:val="454545"/>
              </w:rPr>
              <w:t>Emerald Jewel Industry India Limited (Unit 4)</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B1D7803" w14:textId="77777777" w:rsidR="00303994" w:rsidRDefault="00303994" w:rsidP="00F0287B">
            <w:pPr>
              <w:spacing w:before="43" w:after="30" w:line="300" w:lineRule="auto"/>
              <w:ind w:left="55"/>
            </w:pPr>
            <w:r>
              <w:rPr>
                <w:b/>
                <w:color w:val="454545"/>
              </w:rPr>
              <w:t>CID003490</w:t>
            </w:r>
          </w:p>
        </w:tc>
      </w:tr>
      <w:tr w:rsidR="00303994" w14:paraId="4DCF547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C13CF9E"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F10A94F" w14:textId="77777777" w:rsidR="00303994" w:rsidRDefault="00303994" w:rsidP="00F0287B">
            <w:pPr>
              <w:spacing w:before="43" w:after="30" w:line="300" w:lineRule="auto"/>
              <w:ind w:left="55"/>
            </w:pPr>
            <w:r>
              <w:rPr>
                <w:b/>
                <w:color w:val="454545"/>
              </w:rPr>
              <w:t>K.A. Rasmussen</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D3BE510" w14:textId="77777777" w:rsidR="00303994" w:rsidRDefault="00303994" w:rsidP="00F0287B">
            <w:pPr>
              <w:spacing w:before="43" w:after="30" w:line="300" w:lineRule="auto"/>
              <w:ind w:left="55"/>
            </w:pPr>
            <w:r>
              <w:rPr>
                <w:b/>
                <w:color w:val="454545"/>
              </w:rPr>
              <w:t>CID003497</w:t>
            </w:r>
          </w:p>
        </w:tc>
      </w:tr>
      <w:tr w:rsidR="00303994" w14:paraId="7126254B"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E8B8F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C0CC41A" w14:textId="77777777" w:rsidR="00303994" w:rsidRDefault="00303994" w:rsidP="00F0287B">
            <w:pPr>
              <w:spacing w:before="43" w:after="30" w:line="300" w:lineRule="auto"/>
              <w:ind w:left="55"/>
            </w:pPr>
            <w:proofErr w:type="spellStart"/>
            <w:r>
              <w:rPr>
                <w:b/>
                <w:color w:val="454545"/>
              </w:rPr>
              <w:t>Sellem</w:t>
            </w:r>
            <w:proofErr w:type="spellEnd"/>
            <w:r>
              <w:rPr>
                <w:b/>
                <w:color w:val="454545"/>
              </w:rPr>
              <w:t xml:space="preserve"> Industries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0CC1A9F" w14:textId="77777777" w:rsidR="00303994" w:rsidRDefault="00303994" w:rsidP="00F0287B">
            <w:pPr>
              <w:spacing w:before="43" w:after="30" w:line="300" w:lineRule="auto"/>
              <w:ind w:left="55"/>
            </w:pPr>
            <w:r>
              <w:rPr>
                <w:b/>
                <w:color w:val="454545"/>
              </w:rPr>
              <w:t>CID003540</w:t>
            </w:r>
          </w:p>
        </w:tc>
      </w:tr>
      <w:tr w:rsidR="00303994" w14:paraId="5BB7D53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5F719EC9"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4E57EA1" w14:textId="77777777" w:rsidR="00303994" w:rsidRDefault="00303994" w:rsidP="00F0287B">
            <w:pPr>
              <w:spacing w:before="43" w:after="30" w:line="300" w:lineRule="auto"/>
              <w:ind w:left="55"/>
            </w:pPr>
            <w:r>
              <w:rPr>
                <w:b/>
                <w:color w:val="454545"/>
              </w:rPr>
              <w:t>MD Overseas</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337B8C3" w14:textId="77777777" w:rsidR="00303994" w:rsidRDefault="00303994" w:rsidP="00F0287B">
            <w:pPr>
              <w:spacing w:before="43" w:after="30" w:line="300" w:lineRule="auto"/>
              <w:ind w:left="55"/>
            </w:pPr>
            <w:r>
              <w:rPr>
                <w:b/>
                <w:color w:val="454545"/>
              </w:rPr>
              <w:t>CID003548</w:t>
            </w:r>
          </w:p>
        </w:tc>
      </w:tr>
      <w:tr w:rsidR="00303994" w14:paraId="15F64D5F"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67CCBDF"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CA5F8C2" w14:textId="77777777" w:rsidR="00303994" w:rsidRDefault="00303994" w:rsidP="00F0287B">
            <w:pPr>
              <w:spacing w:before="43" w:after="30" w:line="300" w:lineRule="auto"/>
              <w:ind w:left="55"/>
            </w:pPr>
            <w:proofErr w:type="spellStart"/>
            <w:r>
              <w:rPr>
                <w:b/>
                <w:color w:val="454545"/>
              </w:rPr>
              <w:t>Metallix</w:t>
            </w:r>
            <w:proofErr w:type="spellEnd"/>
            <w:r>
              <w:rPr>
                <w:b/>
                <w:color w:val="454545"/>
              </w:rPr>
              <w:t xml:space="preserve"> Refining Inc.</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36452702" w14:textId="77777777" w:rsidR="00303994" w:rsidRDefault="00303994" w:rsidP="00F0287B">
            <w:pPr>
              <w:spacing w:before="43" w:after="30" w:line="300" w:lineRule="auto"/>
              <w:ind w:left="55"/>
            </w:pPr>
            <w:r>
              <w:rPr>
                <w:b/>
                <w:color w:val="454545"/>
              </w:rPr>
              <w:t>CID003557</w:t>
            </w:r>
          </w:p>
        </w:tc>
      </w:tr>
      <w:tr w:rsidR="00303994" w14:paraId="48AF206A"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25030098"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F3A7AD7" w14:textId="77777777" w:rsidR="00303994" w:rsidRDefault="00303994" w:rsidP="00F0287B">
            <w:pPr>
              <w:spacing w:before="43" w:after="30" w:line="300" w:lineRule="auto"/>
              <w:ind w:left="55"/>
            </w:pPr>
            <w:r>
              <w:rPr>
                <w:b/>
                <w:color w:val="454545"/>
              </w:rPr>
              <w:t>Gold Coast Refinery</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01879015" w14:textId="77777777" w:rsidR="00303994" w:rsidRDefault="00303994" w:rsidP="00F0287B">
            <w:pPr>
              <w:spacing w:before="43" w:after="30" w:line="300" w:lineRule="auto"/>
              <w:ind w:left="55"/>
            </w:pPr>
            <w:r>
              <w:rPr>
                <w:b/>
                <w:color w:val="454545"/>
              </w:rPr>
              <w:t>CID003186</w:t>
            </w:r>
          </w:p>
        </w:tc>
      </w:tr>
      <w:tr w:rsidR="00303994" w14:paraId="10F278D3"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017B517D"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2F1D238" w14:textId="77777777" w:rsidR="00303994" w:rsidRDefault="00303994" w:rsidP="00F0287B">
            <w:pPr>
              <w:spacing w:before="43" w:after="30" w:line="300" w:lineRule="auto"/>
              <w:ind w:left="55"/>
            </w:pPr>
            <w:r>
              <w:rPr>
                <w:b/>
                <w:color w:val="454545"/>
              </w:rPr>
              <w:t>Super Dragon Technology Co., Ltd.</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421A95D2" w14:textId="77777777" w:rsidR="00303994" w:rsidRDefault="00303994" w:rsidP="00F0287B">
            <w:pPr>
              <w:spacing w:before="43" w:after="30" w:line="300" w:lineRule="auto"/>
              <w:ind w:left="55"/>
            </w:pPr>
            <w:r>
              <w:rPr>
                <w:b/>
                <w:color w:val="454545"/>
              </w:rPr>
              <w:t>CID001810</w:t>
            </w:r>
          </w:p>
        </w:tc>
      </w:tr>
      <w:tr w:rsidR="00303994" w14:paraId="06F683B0"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411200D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6AB6BE79" w14:textId="77777777" w:rsidR="00303994" w:rsidRDefault="00303994" w:rsidP="00F0287B">
            <w:pPr>
              <w:spacing w:before="43" w:after="30" w:line="300" w:lineRule="auto"/>
              <w:ind w:left="55"/>
            </w:pPr>
            <w:r>
              <w:rPr>
                <w:b/>
                <w:color w:val="454545"/>
              </w:rPr>
              <w:t>WEEEREFINING**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7FB612A7" w14:textId="77777777" w:rsidR="00303994" w:rsidRDefault="00303994" w:rsidP="00F0287B">
            <w:pPr>
              <w:spacing w:before="43" w:after="30" w:line="300" w:lineRule="auto"/>
              <w:ind w:left="55"/>
            </w:pPr>
            <w:r>
              <w:rPr>
                <w:b/>
                <w:color w:val="454545"/>
              </w:rPr>
              <w:t>CID003615</w:t>
            </w:r>
          </w:p>
        </w:tc>
      </w:tr>
      <w:tr w:rsidR="00303994" w14:paraId="6C028D17" w14:textId="77777777" w:rsidTr="00F0287B">
        <w:trPr>
          <w:cantSplit/>
          <w:trHeight w:hRule="exact" w:val="300"/>
        </w:trPr>
        <w:tc>
          <w:tcPr>
            <w:tcW w:w="16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3A26A385" w14:textId="77777777" w:rsidR="00303994" w:rsidRDefault="00303994" w:rsidP="00F0287B">
            <w:pPr>
              <w:spacing w:before="43" w:after="30" w:line="300" w:lineRule="auto"/>
              <w:ind w:left="55"/>
            </w:pPr>
            <w:r>
              <w:rPr>
                <w:b/>
                <w:color w:val="454545"/>
              </w:rPr>
              <w:t>Gold</w:t>
            </w:r>
          </w:p>
        </w:tc>
        <w:tc>
          <w:tcPr>
            <w:tcW w:w="6405" w:type="dxa"/>
            <w:tcBorders>
              <w:top w:val="single" w:sz="4" w:space="0" w:color="000000"/>
              <w:left w:val="single" w:sz="4" w:space="0" w:color="000000"/>
              <w:bottom w:val="single" w:sz="4" w:space="0" w:color="000000"/>
              <w:right w:val="nil"/>
            </w:tcBorders>
            <w:tcMar>
              <w:top w:w="0" w:type="dxa"/>
              <w:left w:w="53" w:type="dxa"/>
              <w:bottom w:w="0" w:type="dxa"/>
              <w:right w:w="53" w:type="dxa"/>
            </w:tcMar>
          </w:tcPr>
          <w:p w14:paraId="775C0213" w14:textId="77777777" w:rsidR="00303994" w:rsidRDefault="00303994" w:rsidP="00F0287B">
            <w:pPr>
              <w:spacing w:before="43" w:after="30" w:line="300" w:lineRule="auto"/>
              <w:ind w:left="55"/>
            </w:pPr>
            <w:r>
              <w:rPr>
                <w:b/>
                <w:color w:val="454545"/>
              </w:rPr>
              <w:t>Value Trading</w:t>
            </w:r>
          </w:p>
        </w:tc>
        <w:tc>
          <w:tcPr>
            <w:tcW w:w="2805" w:type="dxa"/>
            <w:tcBorders>
              <w:top w:val="single" w:sz="4" w:space="0" w:color="000000"/>
              <w:left w:val="single" w:sz="4" w:space="0" w:color="000000"/>
              <w:bottom w:val="single" w:sz="4" w:space="0" w:color="000000"/>
              <w:right w:val="single" w:sz="4" w:space="0" w:color="000000"/>
            </w:tcBorders>
            <w:tcMar>
              <w:top w:w="0" w:type="dxa"/>
              <w:left w:w="53" w:type="dxa"/>
              <w:bottom w:w="0" w:type="dxa"/>
              <w:right w:w="53" w:type="dxa"/>
            </w:tcMar>
          </w:tcPr>
          <w:p w14:paraId="1FC88E29" w14:textId="77777777" w:rsidR="00303994" w:rsidRDefault="00303994" w:rsidP="00F0287B">
            <w:pPr>
              <w:spacing w:before="43" w:after="30" w:line="300" w:lineRule="auto"/>
              <w:ind w:left="55"/>
            </w:pPr>
            <w:r>
              <w:rPr>
                <w:b/>
                <w:color w:val="454545"/>
              </w:rPr>
              <w:t>CID003617</w:t>
            </w:r>
          </w:p>
        </w:tc>
      </w:tr>
    </w:tbl>
    <w:p w14:paraId="38EB8F29" w14:textId="77777777" w:rsidR="00303994" w:rsidRDefault="00303994" w:rsidP="00303994"/>
    <w:p w14:paraId="3FDFEFA3" w14:textId="77777777" w:rsidR="00303994" w:rsidRDefault="00303994" w:rsidP="00303994">
      <w:pPr>
        <w:rPr>
          <w:sz w:val="20"/>
        </w:rPr>
      </w:pPr>
    </w:p>
    <w:p w14:paraId="16F41451" w14:textId="77777777" w:rsidR="00303994" w:rsidRDefault="00303994">
      <w:pPr>
        <w:spacing w:before="40" w:line="288" w:lineRule="auto"/>
        <w:rPr>
          <w:sz w:val="20"/>
        </w:rPr>
      </w:pPr>
    </w:p>
    <w:sectPr w:rsidR="00303994">
      <w:type w:val="continuous"/>
      <w:pgSz w:w="12240" w:h="15840"/>
      <w:pgMar w:top="855" w:right="540" w:bottom="855" w:left="54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312C" w14:textId="77777777" w:rsidR="009B3B37" w:rsidRDefault="009B3B37">
      <w:r>
        <w:separator/>
      </w:r>
    </w:p>
  </w:endnote>
  <w:endnote w:type="continuationSeparator" w:id="0">
    <w:p w14:paraId="74D29E44" w14:textId="77777777" w:rsidR="009B3B37" w:rsidRDefault="009B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4614" w14:textId="77777777" w:rsidR="00303994" w:rsidRDefault="0030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73A" w14:textId="77777777" w:rsidR="00F138EB" w:rsidRDefault="00F138EB">
    <w:pPr>
      <w:spacing w:line="288" w:lineRule="auto"/>
      <w:ind w:left="450" w:right="45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70A8" w14:textId="77777777" w:rsidR="00303994" w:rsidRDefault="0030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16E5" w14:textId="77777777" w:rsidR="009B3B37" w:rsidRDefault="009B3B37">
      <w:r>
        <w:separator/>
      </w:r>
    </w:p>
  </w:footnote>
  <w:footnote w:type="continuationSeparator" w:id="0">
    <w:p w14:paraId="268C98F5" w14:textId="77777777" w:rsidR="009B3B37" w:rsidRDefault="009B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18E0" w14:textId="77777777" w:rsidR="00303994" w:rsidRDefault="0030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9929" w14:textId="77777777" w:rsidR="00F138EB" w:rsidRDefault="00F138EB">
    <w:pPr>
      <w:spacing w:line="288" w:lineRule="auto"/>
      <w:ind w:left="450" w:right="45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C267" w14:textId="77777777" w:rsidR="00303994" w:rsidRDefault="0030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303994"/>
    <w:rsid w:val="0048181A"/>
    <w:rsid w:val="00567DB4"/>
    <w:rsid w:val="007F7810"/>
    <w:rsid w:val="009B3B37"/>
    <w:rsid w:val="00A77B3E"/>
    <w:rsid w:val="00CA2A55"/>
    <w:rsid w:val="00E33F49"/>
    <w:rsid w:val="00F1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C6E93"/>
  <w15:docId w15:val="{DC93ED29-8F9B-4A87-A44E-6B90A8B1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paragraph" w:styleId="Header">
    <w:name w:val="header"/>
    <w:basedOn w:val="Normal"/>
    <w:link w:val="HeaderChar"/>
    <w:unhideWhenUsed/>
    <w:rsid w:val="00303994"/>
    <w:pPr>
      <w:tabs>
        <w:tab w:val="center" w:pos="4680"/>
        <w:tab w:val="right" w:pos="9360"/>
      </w:tabs>
    </w:pPr>
  </w:style>
  <w:style w:type="character" w:customStyle="1" w:styleId="HeaderChar">
    <w:name w:val="Header Char"/>
    <w:basedOn w:val="DefaultParagraphFont"/>
    <w:link w:val="Header"/>
    <w:rsid w:val="00303994"/>
    <w:rPr>
      <w:sz w:val="24"/>
      <w:szCs w:val="24"/>
    </w:rPr>
  </w:style>
  <w:style w:type="paragraph" w:styleId="Footer">
    <w:name w:val="footer"/>
    <w:basedOn w:val="Normal"/>
    <w:link w:val="FooterChar"/>
    <w:unhideWhenUsed/>
    <w:rsid w:val="00303994"/>
    <w:pPr>
      <w:tabs>
        <w:tab w:val="center" w:pos="4680"/>
        <w:tab w:val="right" w:pos="9360"/>
      </w:tabs>
    </w:pPr>
  </w:style>
  <w:style w:type="character" w:customStyle="1" w:styleId="FooterChar">
    <w:name w:val="Footer Char"/>
    <w:basedOn w:val="DefaultParagraphFont"/>
    <w:link w:val="Footer"/>
    <w:rsid w:val="003039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Form SD 2021</dc:title>
  <cp:lastModifiedBy>Shawn Herdegen</cp:lastModifiedBy>
  <cp:revision>6</cp:revision>
  <dcterms:created xsi:type="dcterms:W3CDTF">2022-06-06T13:37:00Z</dcterms:created>
  <dcterms:modified xsi:type="dcterms:W3CDTF">2022-06-06T13:42:00Z</dcterms:modified>
</cp:coreProperties>
</file>