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357033.xml.htm"/>
      <w:bookmarkStart w:id="1" w:name="kswkform4_17853570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Reuss Mark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 WOODWARD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482-22381-1003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48265-3000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General Motors Co</w:t>
              </w:r>
            </w:hyperlink>
            <w:r>
              <w:rPr/>
              <w:t xml:space="preserve"> [ </w:t>
            </w:r>
            <w:r>
              <w:rPr>
                <w:rFonts w:ascii="Times;serif" w:hAnsi="Times;serif"/>
                <w:color w:val="0000FF"/>
                <w:sz w:val="24"/>
                <w:shd w:fill="FFFFFF" w:val="clear"/>
              </w:rPr>
              <w:t>GM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71,079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49.46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163,372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71,079</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89.97</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92,293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49.46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71,079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71,079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71,080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the weighted average selling price of the shares. The shares were sold in multiple transactions at prices from $89.95 to $90.07, inclusive. The Reporting Person undertakes to provide to the SEC, GM and any security holder, upon request, full information regarding the number of shares sold at each price point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stock options were granted on February 8, 2022 and are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Reuss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92362" TargetMode="External"/><Relationship Id="rId5" Type="http://schemas.openxmlformats.org/officeDocument/2006/relationships/hyperlink" Target="http://www.sec.gov/cgi-bin/browse-edgar?action=getcompany&amp;CIK=0001467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3610</Characters>
  <CharactersWithSpaces>4193</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