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d142844ds8.htm"/>
      <w:bookmarkStart w:id="1" w:name="ksd142844ds8"/>
      <w:bookmarkEnd w:id="0"/>
      <w:bookmarkEnd w:id="1"/>
      <w:r>
        <w:rPr>
          <w:rFonts w:ascii="Times New Roman" w:hAnsi="Times New Roman"/>
          <w:b/>
          <w:sz w:val="20"/>
        </w:rPr>
        <w:t xml:space="preserve">As filed with the Securities and Exchange Commission on July 21, 2026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S-8</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General Motors Company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Delaware</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27-0756180</w:t>
            </w:r>
          </w:p>
        </w:tc>
      </w:tr>
      <w:tr>
        <w:trPr/>
        <w:tc>
          <w:tcPr>
            <w:tcW w:w="5153"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1240 Woodward Avenue </w:t>
      </w:r>
    </w:p>
    <w:p>
      <w:pPr>
        <w:pStyle w:val="TextBody"/>
        <w:bidi w:val="0"/>
        <w:spacing w:before="0" w:after="0"/>
        <w:jc w:val="center"/>
        <w:rPr>
          <w:rFonts w:ascii="Times New Roman" w:hAnsi="Times New Roman"/>
          <w:b/>
          <w:sz w:val="20"/>
        </w:rPr>
      </w:pPr>
      <w:r>
        <w:rPr>
          <w:rFonts w:ascii="Times New Roman" w:hAnsi="Times New Roman"/>
          <w:b/>
          <w:sz w:val="20"/>
        </w:rPr>
        <w:t xml:space="preserve">Detroit, Michigan 48265 </w:t>
      </w:r>
    </w:p>
    <w:p>
      <w:pPr>
        <w:pStyle w:val="TextBody"/>
        <w:bidi w:val="0"/>
        <w:spacing w:before="0" w:after="0"/>
        <w:jc w:val="center"/>
        <w:rPr>
          <w:rFonts w:ascii="Times New Roman" w:hAnsi="Times New Roman"/>
          <w:b/>
          <w:sz w:val="20"/>
        </w:rPr>
      </w:pPr>
      <w:r>
        <w:rPr>
          <w:rFonts w:ascii="Times New Roman" w:hAnsi="Times New Roman"/>
          <w:b/>
          <w:sz w:val="20"/>
        </w:rPr>
        <w:t>(313) 667-1500</w:t>
      </w:r>
    </w:p>
    <w:p>
      <w:pPr>
        <w:pStyle w:val="TextBody"/>
        <w:bidi w:val="0"/>
        <w:spacing w:before="0" w:after="0"/>
        <w:jc w:val="center"/>
        <w:rPr>
          <w:rFonts w:ascii="Times New Roman" w:hAnsi="Times New Roman"/>
          <w:b/>
          <w:sz w:val="16"/>
        </w:rPr>
      </w:pPr>
      <w:r>
        <w:rPr>
          <w:rFonts w:ascii="Times New Roman" w:hAnsi="Times New Roman"/>
          <w:b/>
          <w:sz w:val="16"/>
        </w:rPr>
        <w:t xml:space="preserve">(Address, including zip code, of registrant’s principal executive offices) </w:t>
      </w:r>
    </w:p>
    <w:p>
      <w:pPr>
        <w:pStyle w:val="TextBody"/>
        <w:bidi w:val="0"/>
        <w:spacing w:before="240" w:after="0"/>
        <w:jc w:val="center"/>
        <w:rPr>
          <w:rFonts w:ascii="Times New Roman" w:hAnsi="Times New Roman"/>
          <w:b/>
          <w:sz w:val="20"/>
        </w:rPr>
      </w:pPr>
      <w:r>
        <w:rPr>
          <w:rFonts w:ascii="Times New Roman" w:hAnsi="Times New Roman"/>
          <w:b/>
          <w:sz w:val="20"/>
        </w:rPr>
        <w:t xml:space="preserve">GENERAL MOTORS COMPANY 2020 LONG-TERM INCENTIVE PLAN </w:t>
      </w:r>
    </w:p>
    <w:p>
      <w:pPr>
        <w:pStyle w:val="TextBody"/>
        <w:bidi w:val="0"/>
        <w:spacing w:before="0" w:after="0"/>
        <w:jc w:val="center"/>
        <w:rPr>
          <w:rFonts w:ascii="Times New Roman" w:hAnsi="Times New Roman"/>
          <w:b/>
          <w:sz w:val="16"/>
        </w:rPr>
      </w:pPr>
      <w:r>
        <w:rPr>
          <w:rFonts w:ascii="Times New Roman" w:hAnsi="Times New Roman"/>
          <w:b/>
          <w:sz w:val="16"/>
        </w:rPr>
        <w:t xml:space="preserve">(Full title of the plan) </w:t>
      </w:r>
    </w:p>
    <w:p>
      <w:pPr>
        <w:pStyle w:val="TextBody"/>
        <w:bidi w:val="0"/>
        <w:spacing w:before="240" w:after="0"/>
        <w:jc w:val="center"/>
        <w:rPr>
          <w:rFonts w:ascii="Times New Roman" w:hAnsi="Times New Roman"/>
          <w:b/>
          <w:sz w:val="20"/>
        </w:rPr>
      </w:pPr>
      <w:r>
        <w:rPr>
          <w:rFonts w:ascii="Times New Roman" w:hAnsi="Times New Roman"/>
          <w:b/>
          <w:sz w:val="20"/>
        </w:rPr>
        <w:t xml:space="preserve">John S. Kim </w:t>
      </w:r>
    </w:p>
    <w:p>
      <w:pPr>
        <w:pStyle w:val="TextBody"/>
        <w:bidi w:val="0"/>
        <w:spacing w:before="0" w:after="0"/>
        <w:jc w:val="center"/>
        <w:rPr>
          <w:rFonts w:ascii="Times New Roman" w:hAnsi="Times New Roman"/>
          <w:b/>
          <w:sz w:val="20"/>
        </w:rPr>
      </w:pPr>
      <w:r>
        <w:rPr>
          <w:rFonts w:ascii="Times New Roman" w:hAnsi="Times New Roman"/>
          <w:b/>
          <w:sz w:val="20"/>
        </w:rPr>
        <w:t xml:space="preserve">Assistant Corporate Secretary and Assistant General Counsel </w:t>
      </w:r>
    </w:p>
    <w:p>
      <w:pPr>
        <w:pStyle w:val="TextBody"/>
        <w:bidi w:val="0"/>
        <w:spacing w:before="0" w:after="0"/>
        <w:jc w:val="center"/>
        <w:rPr>
          <w:rFonts w:ascii="Times New Roman" w:hAnsi="Times New Roman"/>
          <w:b/>
          <w:sz w:val="20"/>
        </w:rPr>
      </w:pPr>
      <w:r>
        <w:rPr>
          <w:rFonts w:ascii="Times New Roman" w:hAnsi="Times New Roman"/>
          <w:b/>
          <w:sz w:val="20"/>
        </w:rPr>
        <w:t xml:space="preserve">General Motors Company </w:t>
      </w:r>
    </w:p>
    <w:p>
      <w:pPr>
        <w:pStyle w:val="TextBody"/>
        <w:bidi w:val="0"/>
        <w:spacing w:before="0" w:after="0"/>
        <w:jc w:val="center"/>
        <w:rPr>
          <w:rFonts w:ascii="Times New Roman" w:hAnsi="Times New Roman"/>
          <w:b/>
          <w:sz w:val="20"/>
        </w:rPr>
      </w:pPr>
      <w:r>
        <w:rPr>
          <w:rFonts w:ascii="Times New Roman" w:hAnsi="Times New Roman"/>
          <w:b/>
          <w:sz w:val="20"/>
        </w:rPr>
        <w:t xml:space="preserve">1240 Woodward Avenue </w:t>
      </w:r>
    </w:p>
    <w:p>
      <w:pPr>
        <w:pStyle w:val="TextBody"/>
        <w:bidi w:val="0"/>
        <w:spacing w:before="0" w:after="0"/>
        <w:jc w:val="center"/>
        <w:rPr>
          <w:rFonts w:ascii="Times New Roman" w:hAnsi="Times New Roman"/>
          <w:b/>
          <w:sz w:val="20"/>
        </w:rPr>
      </w:pPr>
      <w:r>
        <w:rPr>
          <w:rFonts w:ascii="Times New Roman" w:hAnsi="Times New Roman"/>
          <w:b/>
          <w:sz w:val="20"/>
        </w:rPr>
        <w:t xml:space="preserve">Detroit, Michigan 48265 </w:t>
      </w:r>
    </w:p>
    <w:p>
      <w:pPr>
        <w:pStyle w:val="TextBody"/>
        <w:bidi w:val="0"/>
        <w:spacing w:before="0" w:after="0"/>
        <w:jc w:val="center"/>
        <w:rPr>
          <w:rFonts w:ascii="Times New Roman" w:hAnsi="Times New Roman"/>
          <w:b/>
          <w:sz w:val="20"/>
        </w:rPr>
      </w:pPr>
      <w:r>
        <w:rPr>
          <w:rFonts w:ascii="Times New Roman" w:hAnsi="Times New Roman"/>
          <w:b/>
          <w:sz w:val="20"/>
        </w:rPr>
        <w:t>(313) 667-1500</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20"/>
        </w:rPr>
      </w:pPr>
      <w:r>
        <w:rPr>
          <w:rFonts w:ascii="Times New Roman" w:hAnsi="Times New Roman"/>
          <w:b/>
          <w:i/>
          <w:sz w:val="20"/>
        </w:rPr>
        <w:t xml:space="preserve">Copy to: </w:t>
      </w:r>
    </w:p>
    <w:p>
      <w:pPr>
        <w:pStyle w:val="TextBody"/>
        <w:bidi w:val="0"/>
        <w:spacing w:before="120" w:after="0"/>
        <w:jc w:val="center"/>
        <w:rPr>
          <w:rFonts w:ascii="Times New Roman" w:hAnsi="Times New Roman"/>
          <w:b/>
          <w:sz w:val="20"/>
        </w:rPr>
      </w:pPr>
      <w:r>
        <w:rPr>
          <w:rFonts w:ascii="Times New Roman" w:hAnsi="Times New Roman"/>
          <w:b/>
          <w:sz w:val="20"/>
        </w:rPr>
        <w:t xml:space="preserve">Grant M. Dixton </w:t>
      </w:r>
    </w:p>
    <w:p>
      <w:pPr>
        <w:pStyle w:val="TextBody"/>
        <w:bidi w:val="0"/>
        <w:spacing w:before="0" w:after="0"/>
        <w:jc w:val="center"/>
        <w:rPr>
          <w:rFonts w:ascii="Times New Roman" w:hAnsi="Times New Roman"/>
          <w:b/>
          <w:sz w:val="20"/>
        </w:rPr>
      </w:pPr>
      <w:r>
        <w:rPr>
          <w:rFonts w:ascii="Times New Roman" w:hAnsi="Times New Roman"/>
          <w:b/>
          <w:sz w:val="20"/>
        </w:rPr>
        <w:t xml:space="preserve">Executive Vice President, Chief Legal and Public Policy Officer, and Corporate Secretary </w:t>
      </w:r>
    </w:p>
    <w:p>
      <w:pPr>
        <w:pStyle w:val="TextBody"/>
        <w:bidi w:val="0"/>
        <w:spacing w:before="0" w:after="0"/>
        <w:jc w:val="center"/>
        <w:rPr>
          <w:rFonts w:ascii="Times New Roman" w:hAnsi="Times New Roman"/>
          <w:b/>
          <w:sz w:val="20"/>
        </w:rPr>
      </w:pPr>
      <w:r>
        <w:rPr>
          <w:rFonts w:ascii="Times New Roman" w:hAnsi="Times New Roman"/>
          <w:b/>
          <w:sz w:val="20"/>
        </w:rPr>
        <w:t xml:space="preserve">General Motors Company </w:t>
      </w:r>
    </w:p>
    <w:p>
      <w:pPr>
        <w:pStyle w:val="TextBody"/>
        <w:bidi w:val="0"/>
        <w:spacing w:before="0" w:after="0"/>
        <w:jc w:val="center"/>
        <w:rPr>
          <w:rFonts w:ascii="Times New Roman" w:hAnsi="Times New Roman"/>
          <w:b/>
          <w:sz w:val="20"/>
        </w:rPr>
      </w:pPr>
      <w:r>
        <w:rPr>
          <w:rFonts w:ascii="Times New Roman" w:hAnsi="Times New Roman"/>
          <w:b/>
          <w:sz w:val="20"/>
        </w:rPr>
        <w:t xml:space="preserve">1240 Woodward Avenue </w:t>
      </w:r>
    </w:p>
    <w:p>
      <w:pPr>
        <w:pStyle w:val="TextBody"/>
        <w:bidi w:val="0"/>
        <w:spacing w:before="0" w:after="0"/>
        <w:jc w:val="center"/>
        <w:rPr>
          <w:rFonts w:ascii="Times New Roman" w:hAnsi="Times New Roman"/>
          <w:b/>
          <w:sz w:val="20"/>
        </w:rPr>
      </w:pPr>
      <w:r>
        <w:rPr>
          <w:rFonts w:ascii="Times New Roman" w:hAnsi="Times New Roman"/>
          <w:b/>
          <w:sz w:val="20"/>
        </w:rPr>
        <w:t xml:space="preserve">Detroit, Michigan 48265 </w:t>
      </w:r>
    </w:p>
    <w:p>
      <w:pPr>
        <w:pStyle w:val="TextBody"/>
        <w:bidi w:val="0"/>
        <w:spacing w:before="0" w:after="0"/>
        <w:jc w:val="center"/>
        <w:rPr>
          <w:rFonts w:ascii="Times New Roman" w:hAnsi="Times New Roman"/>
          <w:b/>
          <w:sz w:val="20"/>
        </w:rPr>
      </w:pPr>
      <w:r>
        <w:rPr>
          <w:rFonts w:ascii="Times New Roman" w:hAnsi="Times New Roman"/>
          <w:b/>
          <w:sz w:val="20"/>
        </w:rPr>
        <w:t>(313) 667-1500</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37"/>
        <w:gridCol w:w="103"/>
        <w:gridCol w:w="4849"/>
        <w:gridCol w:w="123"/>
        <w:gridCol w:w="2640"/>
        <w:gridCol w:w="103"/>
        <w:gridCol w:w="250"/>
      </w:tblGrid>
      <w:tr>
        <w:trPr/>
        <w:tc>
          <w:tcPr>
            <w:tcW w:w="2137"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4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r>
        <w:trPr>
          <w:trHeight w:val="120" w:hRule="atLeast"/>
        </w:trPr>
        <w:tc>
          <w:tcPr>
            <w:tcW w:w="2137" w:type="dxa"/>
            <w:tcBorders/>
            <w:vAlign w:val="center"/>
          </w:tcPr>
          <w:p>
            <w:pPr>
              <w:pStyle w:val="TableContents"/>
              <w:bidi w:val="0"/>
              <w:spacing w:before="0" w:after="283"/>
              <w:jc w:val="left"/>
              <w:rPr>
                <w:sz w:val="4"/>
                <w:szCs w:val="4"/>
              </w:rPr>
            </w:pPr>
            <w:r>
              <w:rPr>
                <w:sz w:val="4"/>
                <w:szCs w:val="4"/>
              </w:rPr>
            </w:r>
          </w:p>
        </w:tc>
        <w:tc>
          <w:tcPr>
            <w:tcW w:w="4952"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3" w:type="dxa"/>
            <w:gridSpan w:val="2"/>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r>
        <w:trPr>
          <w:trHeight w:val="120" w:hRule="atLeast"/>
        </w:trPr>
        <w:tc>
          <w:tcPr>
            <w:tcW w:w="2137" w:type="dxa"/>
            <w:tcBorders/>
            <w:vAlign w:val="center"/>
          </w:tcPr>
          <w:p>
            <w:pPr>
              <w:pStyle w:val="TableContents"/>
              <w:bidi w:val="0"/>
              <w:spacing w:before="0" w:after="283"/>
              <w:jc w:val="left"/>
              <w:rPr>
                <w:sz w:val="4"/>
                <w:szCs w:val="4"/>
              </w:rPr>
            </w:pPr>
            <w:r>
              <w:rPr>
                <w:sz w:val="4"/>
                <w:szCs w:val="4"/>
              </w:rPr>
            </w:r>
          </w:p>
        </w:tc>
        <w:tc>
          <w:tcPr>
            <w:tcW w:w="4952"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3" w:type="dxa"/>
            <w:gridSpan w:val="2"/>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pPr>
      <w:r>
        <w:rPr>
          <w:rFonts w:ascii="Times New Roman" w:hAnsi="Times New Roman"/>
          <w:sz w:val="20"/>
        </w:rPr>
        <w:t>Pursuant to General Instruction E of Form S-8, this registration statement on Form S-8 (this “Registration Statement”) is being filed in order to register an additional 27,000,000 shares of common stock, par value $0.01 per share (“Common Stock”) of General Motors Company (the “Company,” the “Registrant,” “we,” “our,” or “General Motors”) under the General Motors Company 2020 Long-Term Incentive Plan, as amended (the “Plan”), which are securities of the same class and relate to the same employee benefit plan as those securities registered on the Company’s registration statements on Form S-8 previously filed with the Securities and Exchange Commission (the “SEC”) on June 25, 2020 (Registration No. </w:t>
      </w:r>
      <w:hyperlink r:id="rId2">
        <w:r>
          <w:rPr>
            <w:rStyle w:val="InternetLink"/>
            <w:rFonts w:ascii="Times New Roman" w:hAnsi="Times New Roman"/>
            <w:sz w:val="20"/>
          </w:rPr>
          <w:t>333-239425</w:t>
        </w:r>
      </w:hyperlink>
      <w:r>
        <w:rPr>
          <w:rFonts w:ascii="Times New Roman" w:hAnsi="Times New Roman"/>
          <w:sz w:val="20"/>
        </w:rPr>
        <w:t>) and July 25, 2023 (Registration No. </w:t>
      </w:r>
      <w:hyperlink r:id="rId3">
        <w:r>
          <w:rPr>
            <w:rStyle w:val="InternetLink"/>
            <w:rFonts w:ascii="Times New Roman" w:hAnsi="Times New Roman"/>
            <w:sz w:val="20"/>
          </w:rPr>
          <w:t>333-273423</w:t>
        </w:r>
      </w:hyperlink>
      <w:r>
        <w:rPr>
          <w:rFonts w:ascii="Times New Roman" w:hAnsi="Times New Roman"/>
          <w:sz w:val="20"/>
        </w:rPr>
        <w:t xml:space="preserve">), which are hereby incorporated by reference, except to the extent supplemented, amended or superseded by information set forth in this Registration Statement. </w:t>
      </w:r>
    </w:p>
    <w:p>
      <w:pPr>
        <w:pStyle w:val="TextBody"/>
        <w:bidi w:val="0"/>
        <w:spacing w:before="480" w:after="0"/>
        <w:jc w:val="center"/>
        <w:rPr>
          <w:rFonts w:ascii="Times New Roman" w:hAnsi="Times New Roman"/>
          <w:b/>
          <w:sz w:val="20"/>
        </w:rPr>
      </w:pPr>
      <w:r>
        <w:rPr>
          <w:rFonts w:ascii="Times New Roman" w:hAnsi="Times New Roman"/>
          <w:b/>
          <w:sz w:val="20"/>
        </w:rPr>
        <w:t xml:space="preserve">PART I </w:t>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REQUIRED IN THE SECTION 10(a)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documents containing the information specified in Part I of Form S-8 will be delivered to employees as specified by Rule 428(b)(1) of the Securities Act of 1933, as amended (the “Securities Act”). In accordance with the instructions of Part I of Form S-8, such documents are not being filed with the SEC either as part of this Registration Statement or as prospectuses or prospectus supplements pursuant to Rule 424 of the Securities Act. Such documents and the documents incorporated by reference in this Registration Statement pursuant to Item 3 of Part II of Form S-8, taken together, constitute a prospectus that meets the requirements of Section 10(a) of the Securities Act. </w:t>
      </w:r>
    </w:p>
    <w:p>
      <w:pPr>
        <w:pStyle w:val="TextBody"/>
        <w:bidi w:val="0"/>
        <w:spacing w:before="480" w:after="0"/>
        <w:jc w:val="center"/>
        <w:rPr>
          <w:rFonts w:ascii="Times New Roman" w:hAnsi="Times New Roman"/>
          <w:b/>
          <w:sz w:val="20"/>
        </w:rPr>
      </w:pPr>
      <w:r>
        <w:rPr>
          <w:rFonts w:ascii="Times New Roman" w:hAnsi="Times New Roman"/>
          <w:b/>
          <w:sz w:val="20"/>
        </w:rPr>
        <w:t xml:space="preserve">PART II </w:t>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REQUIRED IN THE REGISTRATION STATEMENT </w:t>
      </w:r>
    </w:p>
    <w:p>
      <w:pPr>
        <w:pStyle w:val="TextBody"/>
        <w:bidi w:val="0"/>
        <w:spacing w:before="240" w:after="0"/>
        <w:jc w:val="left"/>
        <w:rPr>
          <w:rFonts w:ascii="Times New Roman" w:hAnsi="Times New Roman"/>
          <w:b/>
          <w:sz w:val="20"/>
        </w:rPr>
      </w:pPr>
      <w:r>
        <w:rPr>
          <w:rFonts w:ascii="Times New Roman" w:hAnsi="Times New Roman"/>
          <w:b/>
          <w:sz w:val="20"/>
        </w:rPr>
        <w:t xml:space="preserve">Item 3. Incorporation of Certain Documents by Reference </w:t>
      </w:r>
    </w:p>
    <w:p>
      <w:pPr>
        <w:pStyle w:val="TextBody"/>
        <w:bidi w:val="0"/>
        <w:spacing w:before="120" w:after="0"/>
        <w:jc w:val="left"/>
        <w:rPr>
          <w:rFonts w:ascii="Times New Roman" w:hAnsi="Times New Roman"/>
          <w:sz w:val="20"/>
        </w:rPr>
      </w:pPr>
      <w:r>
        <w:rPr>
          <w:rFonts w:ascii="Times New Roman" w:hAnsi="Times New Roman"/>
          <w:sz w:val="20"/>
        </w:rPr>
        <w:t xml:space="preserve">The Company hereby incorporates into this Registration Statement the following documents filed with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rFonts w:ascii="Times New Roman" w:hAnsi="Times New Roman"/>
                <w:sz w:val="20"/>
              </w:rPr>
              <w:t xml:space="preserve">Our Annual Report on </w:t>
            </w:r>
            <w:hyperlink r:id="rId4">
              <w:r>
                <w:rPr>
                  <w:rStyle w:val="InternetLink"/>
                  <w:rFonts w:ascii="Times New Roman" w:hAnsi="Times New Roman"/>
                  <w:sz w:val="20"/>
                </w:rPr>
                <w:t>Form 10-K</w:t>
              </w:r>
            </w:hyperlink>
            <w:r>
              <w:rPr>
                <w:rFonts w:ascii="Times New Roman" w:hAnsi="Times New Roman"/>
                <w:sz w:val="20"/>
              </w:rPr>
              <w:t xml:space="preserve"> for the fiscal year ended December 31, 2025, filed with the SEC on January 27, 2026, including the information specifically incorporated by reference into our Annual Report on Form 10-K from our Definitive Proxy Statement on </w:t>
            </w:r>
            <w:hyperlink r:id="rId5">
              <w:r>
                <w:rPr>
                  <w:rStyle w:val="InternetLink"/>
                  <w:rFonts w:ascii="Times New Roman" w:hAnsi="Times New Roman"/>
                  <w:sz w:val="20"/>
                </w:rPr>
                <w:t>Schedule 14A</w:t>
              </w:r>
            </w:hyperlink>
            <w:r>
              <w:rPr>
                <w:rFonts w:ascii="Times New Roman" w:hAnsi="Times New Roman"/>
                <w:sz w:val="20"/>
              </w:rPr>
              <w:t xml:space="preserve">, filed with the SEC on April 20,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pPr>
            <w:r>
              <w:rPr>
                <w:rFonts w:ascii="Times New Roman" w:hAnsi="Times New Roman"/>
                <w:sz w:val="20"/>
              </w:rPr>
              <w:t xml:space="preserve">Our Quarterly Report on </w:t>
            </w:r>
            <w:hyperlink r:id="rId6">
              <w:r>
                <w:rPr>
                  <w:rStyle w:val="InternetLink"/>
                  <w:rFonts w:ascii="Times New Roman" w:hAnsi="Times New Roman"/>
                  <w:sz w:val="20"/>
                </w:rPr>
                <w:t>Form 10-Q</w:t>
              </w:r>
            </w:hyperlink>
            <w:r>
              <w:rPr>
                <w:rFonts w:ascii="Times New Roman" w:hAnsi="Times New Roman"/>
                <w:sz w:val="20"/>
              </w:rPr>
              <w:t xml:space="preserve"> for the quarterly period ended March 31, 2026, filed with the SEC on April  28, 2026, and our Quarterly Report on </w:t>
            </w:r>
            <w:hyperlink r:id="rId7">
              <w:r>
                <w:rPr>
                  <w:rStyle w:val="InternetLink"/>
                  <w:rFonts w:ascii="Times New Roman" w:hAnsi="Times New Roman"/>
                  <w:sz w:val="20"/>
                </w:rPr>
                <w:t>Form 10-Q</w:t>
              </w:r>
            </w:hyperlink>
            <w:r>
              <w:rPr>
                <w:rFonts w:ascii="Times New Roman" w:hAnsi="Times New Roman"/>
                <w:sz w:val="20"/>
              </w:rPr>
              <w:t xml:space="preserve"> for the quarterly period ended June 30, 2026, filed with the SEC on July 21,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8">
              <w:r>
                <w:rPr>
                  <w:rStyle w:val="InternetLink"/>
                  <w:rFonts w:ascii="Times New Roman" w:hAnsi="Times New Roman"/>
                  <w:sz w:val="20"/>
                </w:rPr>
                <w:t>January 8, 2026</w:t>
              </w:r>
            </w:hyperlink>
            <w:r>
              <w:rPr>
                <w:rFonts w:ascii="Times New Roman" w:hAnsi="Times New Roman"/>
                <w:sz w:val="20"/>
              </w:rPr>
              <w:t xml:space="preserve">, </w:t>
            </w:r>
            <w:hyperlink r:id="rId9">
              <w:r>
                <w:rPr>
                  <w:rStyle w:val="InternetLink"/>
                  <w:rFonts w:ascii="Times New Roman" w:hAnsi="Times New Roman"/>
                  <w:sz w:val="20"/>
                </w:rPr>
                <w:t>March 23, 2026</w:t>
              </w:r>
            </w:hyperlink>
            <w:r>
              <w:rPr>
                <w:rFonts w:ascii="Times New Roman" w:hAnsi="Times New Roman"/>
                <w:sz w:val="20"/>
              </w:rPr>
              <w:t xml:space="preserve">, </w:t>
            </w:r>
            <w:hyperlink r:id="rId10">
              <w:r>
                <w:rPr>
                  <w:rStyle w:val="InternetLink"/>
                  <w:rFonts w:ascii="Times New Roman" w:hAnsi="Times New Roman"/>
                  <w:sz w:val="20"/>
                </w:rPr>
                <w:t>May  26, 2026</w:t>
              </w:r>
            </w:hyperlink>
            <w:r>
              <w:rPr>
                <w:rFonts w:ascii="Times New Roman" w:hAnsi="Times New Roman"/>
                <w:sz w:val="20"/>
              </w:rPr>
              <w:t xml:space="preserve"> and </w:t>
            </w:r>
            <w:hyperlink r:id="rId11">
              <w:r>
                <w:rPr>
                  <w:rStyle w:val="InternetLink"/>
                  <w:rFonts w:ascii="Times New Roman" w:hAnsi="Times New Roman"/>
                  <w:sz w:val="20"/>
                </w:rPr>
                <w:t>June 4,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pPr>
            <w:r>
              <w:rPr>
                <w:rFonts w:ascii="Times New Roman" w:hAnsi="Times New Roman"/>
                <w:sz w:val="20"/>
              </w:rPr>
              <w:t xml:space="preserve">The description of the Common Stock set forth in our registration statement on </w:t>
            </w:r>
            <w:hyperlink r:id="rId12">
              <w:r>
                <w:rPr>
                  <w:rStyle w:val="InternetLink"/>
                  <w:rFonts w:ascii="Times New Roman" w:hAnsi="Times New Roman"/>
                  <w:sz w:val="20"/>
                </w:rPr>
                <w:t>Form 8-A</w:t>
              </w:r>
            </w:hyperlink>
            <w:r>
              <w:rPr>
                <w:rFonts w:ascii="Times New Roman" w:hAnsi="Times New Roman"/>
                <w:sz w:val="20"/>
              </w:rPr>
              <w:t xml:space="preserve">, filed with the SEC on November 10, 2010, as updated by </w:t>
            </w:r>
            <w:hyperlink r:id="rId13">
              <w:r>
                <w:rPr>
                  <w:rStyle w:val="InternetLink"/>
                  <w:rFonts w:ascii="Times New Roman" w:hAnsi="Times New Roman"/>
                  <w:sz w:val="20"/>
                </w:rPr>
                <w:t>Exhibit 4.1</w:t>
              </w:r>
            </w:hyperlink>
            <w:r>
              <w:rPr>
                <w:rFonts w:ascii="Times New Roman" w:hAnsi="Times New Roman"/>
                <w:sz w:val="20"/>
              </w:rPr>
              <w:t xml:space="preserve"> to our Annual Report on Form 10-K for the fiscal year ended December 31, 2025, filed on January 27, 2026, together with any subsequent amendment or any report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all documents subsequently filed by the Company with the SEC pursuant to Sections 13(a), 13(c), 14 and 15(d) of the Securities Exchange Act of 1934, as amended (the “Exchange Act”), prior to the filing of a post-effective amendment which indicates that all securities offered have been sold or which deregisters all securities then remaining unsold, shall be deemed to be incorporated by reference in this Registration Statement and to be part hereof from the date of the filing of such documents.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unless expressly incorporated into this Registration Statement, to the extent that any information contained in any document, or any exhibit thereto, was or is deemed to have been furnished to, rather than filed with, the SEC, such information or exhibit is specifically not incorporated by reference in this Registration Statement.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statement contained in a document incorporated or deemed to be incorporated by reference herein shall be deemed to be modified or superseded for purposes of this Registration Statement to the extent that a statement contained in any subsequently filed document which also is deemed to be incorporated by reference herein modifies or supersedes such statement. Any such statement so modified, superseded or replaced shall not be deemed, except as so modified, superseded or replaced, to constitute a part of this Registration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Item 4. Description of Securities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Item 5. Interests of Named Experts and Counsel. </w:t>
      </w:r>
    </w:p>
    <w:p>
      <w:pPr>
        <w:pStyle w:val="TextBody"/>
        <w:bidi w:val="0"/>
        <w:spacing w:before="120" w:after="0"/>
        <w:jc w:val="left"/>
        <w:rPr>
          <w:rFonts w:ascii="Times New Roman" w:hAnsi="Times New Roman"/>
          <w:sz w:val="20"/>
        </w:rPr>
      </w:pPr>
      <w:r>
        <w:rPr>
          <w:rFonts w:ascii="Times New Roman" w:hAnsi="Times New Roman"/>
          <w:sz w:val="20"/>
        </w:rPr>
        <w:t xml:space="preserve">The legality of the issuance of the Common Stock being registered hereby has been passed upon for the Company by John S. Kim, the Company’s Assistant Corporate Secretary and Assistant General Counsel. Mr. Kim is paid a salary by the Company and owns shares of the Company’s common stock and/or has outstanding equity awards under employee benefit plans offered to employees of the Company generally. </w:t>
      </w:r>
    </w:p>
    <w:p>
      <w:pPr>
        <w:pStyle w:val="TextBody"/>
        <w:bidi w:val="0"/>
        <w:spacing w:before="360" w:after="0"/>
        <w:jc w:val="left"/>
        <w:rPr>
          <w:rFonts w:ascii="Times New Roman" w:hAnsi="Times New Roman"/>
          <w:b/>
          <w:sz w:val="20"/>
        </w:rPr>
      </w:pPr>
      <w:r>
        <w:rPr>
          <w:rFonts w:ascii="Times New Roman" w:hAnsi="Times New Roman"/>
          <w:b/>
          <w:sz w:val="20"/>
        </w:rPr>
        <w:t xml:space="preserve">Item 6. Indemnification of Officers and Directors </w:t>
      </w:r>
    </w:p>
    <w:p>
      <w:pPr>
        <w:pStyle w:val="TextBody"/>
        <w:bidi w:val="0"/>
        <w:spacing w:before="120" w:after="0"/>
        <w:jc w:val="left"/>
        <w:rPr>
          <w:rFonts w:ascii="Times New Roman" w:hAnsi="Times New Roman"/>
          <w:sz w:val="20"/>
        </w:rPr>
      </w:pPr>
      <w:r>
        <w:rPr>
          <w:rFonts w:ascii="Times New Roman" w:hAnsi="Times New Roman"/>
          <w:sz w:val="20"/>
        </w:rPr>
        <w:t xml:space="preserve">Under Section 145 of the General Corporation Law of the State of Delaware (“DGCL”), General Motors is empowered to indemnify its directors and officers as provided therein. </w:t>
      </w:r>
    </w:p>
    <w:p>
      <w:pPr>
        <w:pStyle w:val="TextBody"/>
        <w:bidi w:val="0"/>
        <w:spacing w:before="240" w:after="0"/>
        <w:jc w:val="left"/>
        <w:rPr>
          <w:rFonts w:ascii="Times New Roman" w:hAnsi="Times New Roman"/>
          <w:sz w:val="20"/>
        </w:rPr>
      </w:pPr>
      <w:r>
        <w:rPr>
          <w:rFonts w:ascii="Times New Roman" w:hAnsi="Times New Roman"/>
          <w:sz w:val="20"/>
        </w:rPr>
        <w:t xml:space="preserve">General Motors’ Amended and Restated Certificate of Incorporation (the “Certificate”), provides that, to the fullest extent permitted by the DGCL, no director or officer shall be personally liable to General Motors or its stockholders for monetary damages for breach of fiduciary duty as a director or officer, as applicable, except for liability of (i) a director or officer for any breach of the director’s or officer’s duty of loyalty to General Motors or its stockholders, (ii) a director or officer for acts or omissions not in good faith or which involve intentional misconduct or a knowing violation of law, (iii) a director under Section 174, or any successor provision thereto, of the DGCL, (iv) a director or officer for any transaction from which the director or officer derived an improper personal benefit, or (v) an officer in any action by or in the right of General Motors. </w:t>
      </w:r>
    </w:p>
    <w:p>
      <w:pPr>
        <w:pStyle w:val="TextBody"/>
        <w:bidi w:val="0"/>
        <w:spacing w:before="240" w:after="0"/>
        <w:jc w:val="left"/>
        <w:rPr>
          <w:rFonts w:ascii="Times New Roman" w:hAnsi="Times New Roman"/>
          <w:sz w:val="20"/>
        </w:rPr>
      </w:pPr>
      <w:r>
        <w:rPr>
          <w:rFonts w:ascii="Times New Roman" w:hAnsi="Times New Roman"/>
          <w:sz w:val="20"/>
        </w:rPr>
        <w:t xml:space="preserve">Under Article V of its Amended and Restated Bylaws (the “Bylaws”), General Motors shall indemnify and advance expenses to every current or former director and officer in the manner and to the fullest extent permitted by applicable law as it presently exists or may hereafter be amended (but, in the case of any such amendment, only to the extent that such amendment permits the Company to provide broader indemnification rights than such law permitted the Company to provide prior to such amendment), against any and all amounts (including judgments, fines, payments in settlement, attorneys’ fees and other expenses) reasonably incurred or suffered by or on behalf of such person in connection with any threatened, pending or completed investigation, action, suit or proceeding, whether civil, criminal, administrative or investigative (a “proceeding”), in which such director or officer was or is made or is threatened to be made a party or called as a witness or is otherwise involved by reason of the fact that such person is or was a director or officer of General Motors, or is or was serving at the request of General Motors as a director, officer, employee, fiduciary or member of any other corporation, partnership, joint venture, trust, organization or other enterprise (hereinafter, an “indemnitee”), whether the basis of such proceeding is an alleged action in an official capacity as a director, officer, employee, fiduciary or member or in any other capacity while serving as a director, officer, employee, fiduciary or member. Except as provided below with respect to proceedings to enforce rights to indemnification, General Motors shall not be required to indemnify a person in connection with a proceeding (or part thereof) initiated by such person if the proceeding (or part thereof) was not authorized by the Board of Directors of General Motors. For purposes of these provisions, “officer” means a person elected or appointed to an officer position by resolution of the Board of Directors of General Motors or an authorized committee thereof.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General Motors shall pay the expenses of an indemnitee incurred in defending any proceeding in advance of its final disposition (“advancement of expenses”); provided, however, that the payment of expenses incurred by an indemnitee in advance of the final disposition of the proceeding shall be made only upon receipt of an undertaking by the indemnitee to repay all amounts advanced if it should be ultimately determined that by final judicial decision from which there is no further right of appeal the indemnitee is not entitled to be indemnified under Article V of the Bylaws or applicable law. If a claim for indemnification or advancement of expenses by an indemnitee under Article V of the Bylaws is not paid in full within ninety days after a written claim therefor has been received by General Motors, the indemnitee may file suit to recover the unpaid amount of such claim and, if successful in whole or in part, shall be entitled to be paid the expense of prosecuting such claim. In any such action, General Motors shall have the burden of proving that the indemnitee was not entitled to the requested indemnification or advancement of expenses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The rights conferred on any person by Article V of the Bylaws shall not be exclusive of any other rights which such person may have or hereafter acquire under any statute, provision of the Certificate or Bylaws, agreement, vote of stockholders or disinterested directors or otherwise.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may, to the fullest extent permitted by applicable law as it presently exists, or may hereafter be amended from time to time, authorize an appropriate officer or officers to purchase and maintain at General Motors’ expense insurance: (a) to reimburse General Motors for any obligation which it incurs under the provisions of Article V of the Bylaws as a result of the indemnification of past, present or future directors, officers, employees, agents and any persons who have served in the past, are now serving or in the future will serve at the request of General Motors as a director, officer, employee or agent of another corporation, partnership, joint venture, trust or other enterprise; and (b) to pay on behalf of or to indemnify such persons against liability in instances in which they may not otherwise be indemnified by the Company under the provisions of Article V of the Bylaws, whether or not General Motors would have the power to indemnify such persons against such liability under Article V of the Bylaws or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General Motors maintains directors’ and officers’ liability insurance under which its directors and officers are insured against loss (as defined by the terms of insurance) as a result of claims brought against them alleging breach of duty, neglect, error or misstatement while acting in such capacities.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above described provisions in the Certificate and Bylaws, General Motors has entered into an indemnification agreement with each of its directors and certain of its executive officers, which provides, among other things, that General Motors will indemnify and defend each such person to the fullest extent permitted by law, subject to certain conditions, against all expenses and certain other amounts actually and reasonably incurred by such person in connection with proceedings in which such person is involved, or is threatened to become involved, by reason of any action or inaction by such person in his or her capacity as a director or officer of General Motors, or by reason of the fact that such person is or was serving at the request of General Motors as a director, officer, trustee, manager, member, fiduciary, employee or agent of any other organization or enterprise. The indemnification agreement also requires General Motors to advance expenses incurred by such person in connection with the investigation, defense, or appeal of any such proceedings. Additionally, in any proceeding for which indemnification is not otherwise available, the indemnification agreement requires General Motors to contribute to the indemnifiable losses based on the relative benefits received by, and/or the losses and relative faults of, the indemnitee and General Motors. </w:t>
      </w:r>
    </w:p>
    <w:p>
      <w:pPr>
        <w:pStyle w:val="TextBody"/>
        <w:bidi w:val="0"/>
        <w:spacing w:before="360" w:after="0"/>
        <w:jc w:val="left"/>
        <w:rPr>
          <w:rFonts w:ascii="Times New Roman" w:hAnsi="Times New Roman"/>
          <w:b/>
          <w:sz w:val="20"/>
        </w:rPr>
      </w:pPr>
      <w:r>
        <w:rPr>
          <w:rFonts w:ascii="Times New Roman" w:hAnsi="Times New Roman"/>
          <w:b/>
          <w:sz w:val="20"/>
        </w:rPr>
        <w:t xml:space="preserve">Item 7. Exemption from Registration Claimed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8.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71"/>
        <w:gridCol w:w="426"/>
        <w:gridCol w:w="9208"/>
      </w:tblGrid>
      <w:tr>
        <w:trPr/>
        <w:tc>
          <w:tcPr>
            <w:tcW w:w="571" w:type="dxa"/>
            <w:tcBorders/>
            <w:vAlign w:val="center"/>
          </w:tcPr>
          <w:p>
            <w:pPr>
              <w:pStyle w:val="TableContents"/>
              <w:bidi w:val="0"/>
              <w:spacing w:before="0" w:after="283"/>
              <w:jc w:val="left"/>
              <w:rPr>
                <w:sz w:val="4"/>
                <w:szCs w:val="4"/>
              </w:rPr>
            </w:pPr>
            <w:r>
              <w:rPr>
                <w:sz w:val="4"/>
                <w:szCs w:val="4"/>
              </w:rPr>
            </w:r>
          </w:p>
        </w:tc>
        <w:tc>
          <w:tcPr>
            <w:tcW w:w="426" w:type="dxa"/>
            <w:tcBorders/>
            <w:vAlign w:val="bottom"/>
          </w:tcPr>
          <w:p>
            <w:pPr>
              <w:pStyle w:val="TableContents"/>
              <w:bidi w:val="0"/>
              <w:spacing w:before="0" w:after="283"/>
              <w:jc w:val="left"/>
              <w:rPr>
                <w:sz w:val="4"/>
                <w:szCs w:val="4"/>
              </w:rPr>
            </w:pPr>
            <w:r>
              <w:rPr>
                <w:sz w:val="4"/>
                <w:szCs w:val="4"/>
              </w:rPr>
            </w:r>
          </w:p>
        </w:tc>
        <w:tc>
          <w:tcPr>
            <w:tcW w:w="9208" w:type="dxa"/>
            <w:tcBorders/>
            <w:vAlign w:val="center"/>
          </w:tcPr>
          <w:p>
            <w:pPr>
              <w:pStyle w:val="TableContents"/>
              <w:bidi w:val="0"/>
              <w:spacing w:before="0" w:after="283"/>
              <w:jc w:val="left"/>
              <w:rPr>
                <w:sz w:val="4"/>
                <w:szCs w:val="4"/>
              </w:rPr>
            </w:pPr>
            <w:r>
              <w:rPr>
                <w:sz w:val="4"/>
                <w:szCs w:val="4"/>
              </w:rPr>
            </w:r>
          </w:p>
        </w:tc>
      </w:tr>
      <w:tr>
        <w:trPr/>
        <w:tc>
          <w:tcPr>
            <w:tcW w:w="571"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No.</w:t>
            </w:r>
          </w:p>
        </w:tc>
        <w:tc>
          <w:tcPr>
            <w:tcW w:w="426" w:type="dxa"/>
            <w:tcBorders/>
            <w:vAlign w:val="bottom"/>
          </w:tcPr>
          <w:p>
            <w:pPr>
              <w:pStyle w:val="TableContents"/>
              <w:bidi w:val="0"/>
              <w:spacing w:before="0" w:after="283"/>
              <w:jc w:val="left"/>
              <w:rPr/>
            </w:pPr>
            <w:r>
              <w:rPr/>
              <w:t>  </w:t>
            </w:r>
          </w:p>
        </w:tc>
        <w:tc>
          <w:tcPr>
            <w:tcW w:w="9208"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w:t>
            </w:r>
          </w:p>
        </w:tc>
      </w:tr>
      <w:tr>
        <w:trPr>
          <w:trHeight w:val="120" w:hRule="atLeast"/>
        </w:trPr>
        <w:tc>
          <w:tcPr>
            <w:tcW w:w="571" w:type="dxa"/>
            <w:tcBorders/>
            <w:vAlign w:val="center"/>
          </w:tcPr>
          <w:p>
            <w:pPr>
              <w:pStyle w:val="TableContents"/>
              <w:bidi w:val="0"/>
              <w:spacing w:before="0" w:after="283"/>
              <w:jc w:val="left"/>
              <w:rPr>
                <w:sz w:val="4"/>
                <w:szCs w:val="4"/>
              </w:rPr>
            </w:pPr>
            <w:r>
              <w:rPr>
                <w:sz w:val="4"/>
                <w:szCs w:val="4"/>
              </w:rPr>
            </w:r>
          </w:p>
        </w:tc>
        <w:tc>
          <w:tcPr>
            <w:tcW w:w="9634" w:type="dxa"/>
            <w:gridSpan w:val="2"/>
            <w:tcBorders/>
            <w:vAlign w:val="center"/>
          </w:tcPr>
          <w:p>
            <w:pPr>
              <w:pStyle w:val="TableContents"/>
              <w:bidi w:val="0"/>
              <w:spacing w:before="0" w:after="283"/>
              <w:jc w:val="left"/>
              <w:rPr>
                <w:sz w:val="4"/>
                <w:szCs w:val="4"/>
              </w:rPr>
            </w:pPr>
            <w:r>
              <w:rPr>
                <w:sz w:val="4"/>
                <w:szCs w:val="4"/>
              </w:rPr>
            </w:r>
          </w:p>
        </w:tc>
      </w:tr>
      <w:tr>
        <w:trPr/>
        <w:tc>
          <w:tcPr>
            <w:tcW w:w="571" w:type="dxa"/>
            <w:tcBorders/>
          </w:tcPr>
          <w:p>
            <w:pPr>
              <w:pStyle w:val="TableContents"/>
              <w:bidi w:val="0"/>
              <w:spacing w:before="0" w:after="283"/>
              <w:jc w:val="left"/>
              <w:rPr/>
            </w:pPr>
            <w:r>
              <w:rPr/>
              <w:t> </w:t>
            </w:r>
            <w:r>
              <w:rPr/>
              <w:t>4.1</w:t>
            </w:r>
          </w:p>
        </w:tc>
        <w:tc>
          <w:tcPr>
            <w:tcW w:w="426" w:type="dxa"/>
            <w:tcBorders/>
            <w:vAlign w:val="bottom"/>
          </w:tcPr>
          <w:p>
            <w:pPr>
              <w:pStyle w:val="TableContents"/>
              <w:bidi w:val="0"/>
              <w:spacing w:before="0" w:after="283"/>
              <w:jc w:val="left"/>
              <w:rPr/>
            </w:pPr>
            <w:r>
              <w:rPr/>
              <w:t>  </w:t>
            </w:r>
          </w:p>
        </w:tc>
        <w:tc>
          <w:tcPr>
            <w:tcW w:w="9208" w:type="dxa"/>
            <w:tcBorders/>
          </w:tcPr>
          <w:p>
            <w:pPr>
              <w:pStyle w:val="TableContents"/>
              <w:bidi w:val="0"/>
              <w:spacing w:before="0" w:after="283"/>
              <w:jc w:val="left"/>
              <w:rPr/>
            </w:pPr>
            <w:hyperlink r:id="rId14">
              <w:r>
                <w:rPr>
                  <w:rStyle w:val="InternetLink"/>
                </w:rPr>
                <w:t xml:space="preserve">Amended and Restated Certificate of Incorporation of General Motors Company dated June  3, 2025 (incorporated by reference to Exhibit 3.1 to the Current Report on Form 8-K of General Motors Company filed June 5, 2025) </w:t>
              </w:r>
            </w:hyperlink>
          </w:p>
        </w:tc>
      </w:tr>
      <w:tr>
        <w:trPr>
          <w:trHeight w:val="120" w:hRule="atLeast"/>
        </w:trPr>
        <w:tc>
          <w:tcPr>
            <w:tcW w:w="571" w:type="dxa"/>
            <w:tcBorders/>
            <w:vAlign w:val="center"/>
          </w:tcPr>
          <w:p>
            <w:pPr>
              <w:pStyle w:val="TableContents"/>
              <w:bidi w:val="0"/>
              <w:spacing w:before="0" w:after="283"/>
              <w:jc w:val="left"/>
              <w:rPr>
                <w:sz w:val="4"/>
                <w:szCs w:val="4"/>
              </w:rPr>
            </w:pPr>
            <w:r>
              <w:rPr>
                <w:sz w:val="4"/>
                <w:szCs w:val="4"/>
              </w:rPr>
            </w:r>
          </w:p>
        </w:tc>
        <w:tc>
          <w:tcPr>
            <w:tcW w:w="9634" w:type="dxa"/>
            <w:gridSpan w:val="2"/>
            <w:tcBorders/>
            <w:vAlign w:val="center"/>
          </w:tcPr>
          <w:p>
            <w:pPr>
              <w:pStyle w:val="TableContents"/>
              <w:bidi w:val="0"/>
              <w:spacing w:before="0" w:after="283"/>
              <w:jc w:val="left"/>
              <w:rPr>
                <w:sz w:val="4"/>
                <w:szCs w:val="4"/>
              </w:rPr>
            </w:pPr>
            <w:r>
              <w:rPr>
                <w:sz w:val="4"/>
                <w:szCs w:val="4"/>
              </w:rPr>
            </w:r>
          </w:p>
        </w:tc>
      </w:tr>
      <w:tr>
        <w:trPr/>
        <w:tc>
          <w:tcPr>
            <w:tcW w:w="571" w:type="dxa"/>
            <w:tcBorders/>
          </w:tcPr>
          <w:p>
            <w:pPr>
              <w:pStyle w:val="TableContents"/>
              <w:bidi w:val="0"/>
              <w:spacing w:before="0" w:after="283"/>
              <w:jc w:val="left"/>
              <w:rPr/>
            </w:pPr>
            <w:r>
              <w:rPr/>
              <w:t> </w:t>
            </w:r>
            <w:r>
              <w:rPr/>
              <w:t>4.2</w:t>
            </w:r>
          </w:p>
        </w:tc>
        <w:tc>
          <w:tcPr>
            <w:tcW w:w="426" w:type="dxa"/>
            <w:tcBorders/>
            <w:vAlign w:val="bottom"/>
          </w:tcPr>
          <w:p>
            <w:pPr>
              <w:pStyle w:val="TableContents"/>
              <w:bidi w:val="0"/>
              <w:spacing w:before="0" w:after="283"/>
              <w:jc w:val="left"/>
              <w:rPr/>
            </w:pPr>
            <w:r>
              <w:rPr/>
              <w:t>  </w:t>
            </w:r>
          </w:p>
        </w:tc>
        <w:tc>
          <w:tcPr>
            <w:tcW w:w="9208" w:type="dxa"/>
            <w:tcBorders/>
          </w:tcPr>
          <w:p>
            <w:pPr>
              <w:pStyle w:val="TableContents"/>
              <w:bidi w:val="0"/>
              <w:spacing w:before="0" w:after="283"/>
              <w:jc w:val="left"/>
              <w:rPr/>
            </w:pPr>
            <w:hyperlink r:id="rId15">
              <w:r>
                <w:rPr>
                  <w:rStyle w:val="InternetLink"/>
                </w:rPr>
                <w:t xml:space="preserve">General Motors Company Amended and Restated Bylaws, as amended October  4, 2024 (incorporated by reference to Exhibit 3.1 to the Current Report on Form 8-K of General Motors Company filed October 9, 2024) </w:t>
              </w:r>
            </w:hyperlink>
          </w:p>
        </w:tc>
      </w:tr>
      <w:tr>
        <w:trPr>
          <w:trHeight w:val="120" w:hRule="atLeast"/>
        </w:trPr>
        <w:tc>
          <w:tcPr>
            <w:tcW w:w="571" w:type="dxa"/>
            <w:tcBorders/>
            <w:vAlign w:val="center"/>
          </w:tcPr>
          <w:p>
            <w:pPr>
              <w:pStyle w:val="TableContents"/>
              <w:bidi w:val="0"/>
              <w:spacing w:before="0" w:after="283"/>
              <w:jc w:val="left"/>
              <w:rPr>
                <w:sz w:val="4"/>
                <w:szCs w:val="4"/>
              </w:rPr>
            </w:pPr>
            <w:r>
              <w:rPr>
                <w:sz w:val="4"/>
                <w:szCs w:val="4"/>
              </w:rPr>
            </w:r>
          </w:p>
        </w:tc>
        <w:tc>
          <w:tcPr>
            <w:tcW w:w="9634" w:type="dxa"/>
            <w:gridSpan w:val="2"/>
            <w:tcBorders/>
            <w:vAlign w:val="center"/>
          </w:tcPr>
          <w:p>
            <w:pPr>
              <w:pStyle w:val="TableContents"/>
              <w:bidi w:val="0"/>
              <w:spacing w:before="0" w:after="283"/>
              <w:jc w:val="left"/>
              <w:rPr>
                <w:sz w:val="4"/>
                <w:szCs w:val="4"/>
              </w:rPr>
            </w:pPr>
            <w:r>
              <w:rPr>
                <w:sz w:val="4"/>
                <w:szCs w:val="4"/>
              </w:rPr>
            </w:r>
          </w:p>
        </w:tc>
      </w:tr>
      <w:tr>
        <w:trPr/>
        <w:tc>
          <w:tcPr>
            <w:tcW w:w="571" w:type="dxa"/>
            <w:tcBorders/>
          </w:tcPr>
          <w:p>
            <w:pPr>
              <w:pStyle w:val="TableContents"/>
              <w:bidi w:val="0"/>
              <w:spacing w:before="0" w:after="283"/>
              <w:jc w:val="left"/>
              <w:rPr/>
            </w:pPr>
            <w:r>
              <w:rPr/>
              <w:t> </w:t>
            </w:r>
            <w:r>
              <w:rPr/>
              <w:t>5.1*</w:t>
            </w:r>
          </w:p>
        </w:tc>
        <w:tc>
          <w:tcPr>
            <w:tcW w:w="426" w:type="dxa"/>
            <w:tcBorders/>
            <w:vAlign w:val="bottom"/>
          </w:tcPr>
          <w:p>
            <w:pPr>
              <w:pStyle w:val="TableContents"/>
              <w:bidi w:val="0"/>
              <w:spacing w:before="0" w:after="283"/>
              <w:jc w:val="left"/>
              <w:rPr/>
            </w:pPr>
            <w:r>
              <w:rPr/>
              <w:t>  </w:t>
            </w:r>
          </w:p>
        </w:tc>
        <w:tc>
          <w:tcPr>
            <w:tcW w:w="9208" w:type="dxa"/>
            <w:tcBorders/>
          </w:tcPr>
          <w:p>
            <w:pPr>
              <w:pStyle w:val="TableContents"/>
              <w:bidi w:val="0"/>
              <w:spacing w:before="0" w:after="283"/>
              <w:jc w:val="left"/>
              <w:rPr/>
            </w:pPr>
            <w:hyperlink w:anchor="d142844dex51.htm">
              <w:r>
                <w:rPr>
                  <w:rStyle w:val="InternetLink"/>
                </w:rPr>
                <w:t xml:space="preserve">Opinion of John S. Kim, Esq. </w:t>
              </w:r>
            </w:hyperlink>
          </w:p>
        </w:tc>
      </w:tr>
      <w:tr>
        <w:trPr>
          <w:trHeight w:val="120" w:hRule="atLeast"/>
        </w:trPr>
        <w:tc>
          <w:tcPr>
            <w:tcW w:w="571" w:type="dxa"/>
            <w:tcBorders/>
            <w:vAlign w:val="center"/>
          </w:tcPr>
          <w:p>
            <w:pPr>
              <w:pStyle w:val="TableContents"/>
              <w:bidi w:val="0"/>
              <w:spacing w:before="0" w:after="283"/>
              <w:jc w:val="left"/>
              <w:rPr>
                <w:sz w:val="4"/>
                <w:szCs w:val="4"/>
              </w:rPr>
            </w:pPr>
            <w:r>
              <w:rPr>
                <w:sz w:val="4"/>
                <w:szCs w:val="4"/>
              </w:rPr>
            </w:r>
          </w:p>
        </w:tc>
        <w:tc>
          <w:tcPr>
            <w:tcW w:w="9634" w:type="dxa"/>
            <w:gridSpan w:val="2"/>
            <w:tcBorders/>
            <w:vAlign w:val="center"/>
          </w:tcPr>
          <w:p>
            <w:pPr>
              <w:pStyle w:val="TableContents"/>
              <w:bidi w:val="0"/>
              <w:spacing w:before="0" w:after="283"/>
              <w:jc w:val="left"/>
              <w:rPr>
                <w:sz w:val="4"/>
                <w:szCs w:val="4"/>
              </w:rPr>
            </w:pPr>
            <w:r>
              <w:rPr>
                <w:sz w:val="4"/>
                <w:szCs w:val="4"/>
              </w:rPr>
            </w:r>
          </w:p>
        </w:tc>
      </w:tr>
      <w:tr>
        <w:trPr/>
        <w:tc>
          <w:tcPr>
            <w:tcW w:w="571" w:type="dxa"/>
            <w:tcBorders/>
          </w:tcPr>
          <w:p>
            <w:pPr>
              <w:pStyle w:val="TableContents"/>
              <w:bidi w:val="0"/>
              <w:spacing w:before="0" w:after="283"/>
              <w:jc w:val="left"/>
              <w:rPr/>
            </w:pPr>
            <w:r>
              <w:rPr/>
              <w:t>23.1*</w:t>
            </w:r>
          </w:p>
        </w:tc>
        <w:tc>
          <w:tcPr>
            <w:tcW w:w="426" w:type="dxa"/>
            <w:tcBorders/>
            <w:vAlign w:val="bottom"/>
          </w:tcPr>
          <w:p>
            <w:pPr>
              <w:pStyle w:val="TableContents"/>
              <w:bidi w:val="0"/>
              <w:spacing w:before="0" w:after="283"/>
              <w:jc w:val="left"/>
              <w:rPr/>
            </w:pPr>
            <w:r>
              <w:rPr/>
              <w:t>  </w:t>
            </w:r>
          </w:p>
        </w:tc>
        <w:tc>
          <w:tcPr>
            <w:tcW w:w="9208" w:type="dxa"/>
            <w:tcBorders/>
          </w:tcPr>
          <w:p>
            <w:pPr>
              <w:pStyle w:val="TableContents"/>
              <w:bidi w:val="0"/>
              <w:spacing w:before="0" w:after="283"/>
              <w:jc w:val="left"/>
              <w:rPr/>
            </w:pPr>
            <w:hyperlink w:anchor="d142844dex231.htm">
              <w:r>
                <w:rPr>
                  <w:rStyle w:val="InternetLink"/>
                </w:rPr>
                <w:t xml:space="preserve">Consent of Ernst &amp; Young LLP </w:t>
              </w:r>
            </w:hyperlink>
          </w:p>
        </w:tc>
      </w:tr>
      <w:tr>
        <w:trPr>
          <w:trHeight w:val="120" w:hRule="atLeast"/>
        </w:trPr>
        <w:tc>
          <w:tcPr>
            <w:tcW w:w="571" w:type="dxa"/>
            <w:tcBorders/>
            <w:vAlign w:val="center"/>
          </w:tcPr>
          <w:p>
            <w:pPr>
              <w:pStyle w:val="TableContents"/>
              <w:bidi w:val="0"/>
              <w:spacing w:before="0" w:after="283"/>
              <w:jc w:val="left"/>
              <w:rPr>
                <w:sz w:val="4"/>
                <w:szCs w:val="4"/>
              </w:rPr>
            </w:pPr>
            <w:r>
              <w:rPr>
                <w:sz w:val="4"/>
                <w:szCs w:val="4"/>
              </w:rPr>
            </w:r>
          </w:p>
        </w:tc>
        <w:tc>
          <w:tcPr>
            <w:tcW w:w="9634" w:type="dxa"/>
            <w:gridSpan w:val="2"/>
            <w:tcBorders/>
            <w:vAlign w:val="center"/>
          </w:tcPr>
          <w:p>
            <w:pPr>
              <w:pStyle w:val="TableContents"/>
              <w:bidi w:val="0"/>
              <w:spacing w:before="0" w:after="283"/>
              <w:jc w:val="left"/>
              <w:rPr>
                <w:sz w:val="4"/>
                <w:szCs w:val="4"/>
              </w:rPr>
            </w:pPr>
            <w:r>
              <w:rPr>
                <w:sz w:val="4"/>
                <w:szCs w:val="4"/>
              </w:rPr>
            </w:r>
          </w:p>
        </w:tc>
      </w:tr>
      <w:tr>
        <w:trPr/>
        <w:tc>
          <w:tcPr>
            <w:tcW w:w="571" w:type="dxa"/>
            <w:tcBorders/>
          </w:tcPr>
          <w:p>
            <w:pPr>
              <w:pStyle w:val="TableContents"/>
              <w:bidi w:val="0"/>
              <w:spacing w:before="0" w:after="283"/>
              <w:jc w:val="left"/>
              <w:rPr/>
            </w:pPr>
            <w:r>
              <w:rPr/>
              <w:t>23.2*</w:t>
            </w:r>
          </w:p>
        </w:tc>
        <w:tc>
          <w:tcPr>
            <w:tcW w:w="426" w:type="dxa"/>
            <w:tcBorders/>
            <w:vAlign w:val="bottom"/>
          </w:tcPr>
          <w:p>
            <w:pPr>
              <w:pStyle w:val="TableContents"/>
              <w:bidi w:val="0"/>
              <w:spacing w:before="0" w:after="283"/>
              <w:jc w:val="left"/>
              <w:rPr/>
            </w:pPr>
            <w:r>
              <w:rPr/>
              <w:t>  </w:t>
            </w:r>
          </w:p>
        </w:tc>
        <w:tc>
          <w:tcPr>
            <w:tcW w:w="9208" w:type="dxa"/>
            <w:tcBorders/>
          </w:tcPr>
          <w:p>
            <w:pPr>
              <w:pStyle w:val="TableContents"/>
              <w:bidi w:val="0"/>
              <w:spacing w:before="0" w:after="283"/>
              <w:jc w:val="left"/>
              <w:rPr/>
            </w:pPr>
            <w:hyperlink w:anchor="d142844dex51.htm">
              <w:r>
                <w:rPr>
                  <w:rStyle w:val="InternetLink"/>
                </w:rPr>
                <w:t xml:space="preserve">Consent of John S. Kim, Esq. (included in Exhibit 5.1) </w:t>
              </w:r>
            </w:hyperlink>
          </w:p>
        </w:tc>
      </w:tr>
      <w:tr>
        <w:trPr>
          <w:trHeight w:val="120" w:hRule="atLeast"/>
        </w:trPr>
        <w:tc>
          <w:tcPr>
            <w:tcW w:w="571" w:type="dxa"/>
            <w:tcBorders/>
            <w:vAlign w:val="center"/>
          </w:tcPr>
          <w:p>
            <w:pPr>
              <w:pStyle w:val="TableContents"/>
              <w:bidi w:val="0"/>
              <w:spacing w:before="0" w:after="283"/>
              <w:jc w:val="left"/>
              <w:rPr>
                <w:sz w:val="4"/>
                <w:szCs w:val="4"/>
              </w:rPr>
            </w:pPr>
            <w:r>
              <w:rPr>
                <w:sz w:val="4"/>
                <w:szCs w:val="4"/>
              </w:rPr>
            </w:r>
          </w:p>
        </w:tc>
        <w:tc>
          <w:tcPr>
            <w:tcW w:w="9634" w:type="dxa"/>
            <w:gridSpan w:val="2"/>
            <w:tcBorders/>
            <w:vAlign w:val="center"/>
          </w:tcPr>
          <w:p>
            <w:pPr>
              <w:pStyle w:val="TableContents"/>
              <w:bidi w:val="0"/>
              <w:spacing w:before="0" w:after="283"/>
              <w:jc w:val="left"/>
              <w:rPr>
                <w:sz w:val="4"/>
                <w:szCs w:val="4"/>
              </w:rPr>
            </w:pPr>
            <w:r>
              <w:rPr>
                <w:sz w:val="4"/>
                <w:szCs w:val="4"/>
              </w:rPr>
            </w:r>
          </w:p>
        </w:tc>
      </w:tr>
      <w:tr>
        <w:trPr/>
        <w:tc>
          <w:tcPr>
            <w:tcW w:w="571" w:type="dxa"/>
            <w:tcBorders/>
          </w:tcPr>
          <w:p>
            <w:pPr>
              <w:pStyle w:val="TableContents"/>
              <w:bidi w:val="0"/>
              <w:spacing w:before="0" w:after="283"/>
              <w:jc w:val="left"/>
              <w:rPr/>
            </w:pPr>
            <w:r>
              <w:rPr/>
              <w:t>24.1*</w:t>
            </w:r>
          </w:p>
        </w:tc>
        <w:tc>
          <w:tcPr>
            <w:tcW w:w="426" w:type="dxa"/>
            <w:tcBorders/>
            <w:vAlign w:val="bottom"/>
          </w:tcPr>
          <w:p>
            <w:pPr>
              <w:pStyle w:val="TableContents"/>
              <w:bidi w:val="0"/>
              <w:spacing w:before="0" w:after="283"/>
              <w:jc w:val="left"/>
              <w:rPr/>
            </w:pPr>
            <w:r>
              <w:rPr/>
              <w:t>  </w:t>
            </w:r>
          </w:p>
        </w:tc>
        <w:tc>
          <w:tcPr>
            <w:tcW w:w="9208" w:type="dxa"/>
            <w:tcBorders/>
          </w:tcPr>
          <w:p>
            <w:pPr>
              <w:pStyle w:val="TableContents"/>
              <w:bidi w:val="0"/>
              <w:spacing w:before="0" w:after="283"/>
              <w:jc w:val="left"/>
              <w:rPr/>
            </w:pPr>
            <w:hyperlink w:anchor="sig">
              <w:r>
                <w:rPr>
                  <w:rStyle w:val="InternetLink"/>
                </w:rPr>
                <w:t xml:space="preserve">Powers of Attorney for directors of General Motors Company (included on the signature page of this Registration Statement) </w:t>
              </w:r>
            </w:hyperlink>
          </w:p>
        </w:tc>
      </w:tr>
      <w:tr>
        <w:trPr>
          <w:trHeight w:val="120" w:hRule="atLeast"/>
        </w:trPr>
        <w:tc>
          <w:tcPr>
            <w:tcW w:w="571" w:type="dxa"/>
            <w:tcBorders/>
            <w:vAlign w:val="center"/>
          </w:tcPr>
          <w:p>
            <w:pPr>
              <w:pStyle w:val="TableContents"/>
              <w:bidi w:val="0"/>
              <w:spacing w:before="0" w:after="283"/>
              <w:jc w:val="left"/>
              <w:rPr>
                <w:sz w:val="4"/>
                <w:szCs w:val="4"/>
              </w:rPr>
            </w:pPr>
            <w:r>
              <w:rPr>
                <w:sz w:val="4"/>
                <w:szCs w:val="4"/>
              </w:rPr>
            </w:r>
          </w:p>
        </w:tc>
        <w:tc>
          <w:tcPr>
            <w:tcW w:w="9634" w:type="dxa"/>
            <w:gridSpan w:val="2"/>
            <w:tcBorders/>
            <w:vAlign w:val="center"/>
          </w:tcPr>
          <w:p>
            <w:pPr>
              <w:pStyle w:val="TableContents"/>
              <w:bidi w:val="0"/>
              <w:spacing w:before="0" w:after="283"/>
              <w:jc w:val="left"/>
              <w:rPr>
                <w:sz w:val="4"/>
                <w:szCs w:val="4"/>
              </w:rPr>
            </w:pPr>
            <w:r>
              <w:rPr>
                <w:sz w:val="4"/>
                <w:szCs w:val="4"/>
              </w:rPr>
            </w:r>
          </w:p>
        </w:tc>
      </w:tr>
      <w:tr>
        <w:trPr/>
        <w:tc>
          <w:tcPr>
            <w:tcW w:w="571" w:type="dxa"/>
            <w:tcBorders/>
          </w:tcPr>
          <w:p>
            <w:pPr>
              <w:pStyle w:val="TableContents"/>
              <w:bidi w:val="0"/>
              <w:spacing w:before="0" w:after="283"/>
              <w:jc w:val="left"/>
              <w:rPr/>
            </w:pPr>
            <w:r>
              <w:rPr/>
              <w:t>99.1</w:t>
            </w:r>
          </w:p>
        </w:tc>
        <w:tc>
          <w:tcPr>
            <w:tcW w:w="426" w:type="dxa"/>
            <w:tcBorders/>
            <w:vAlign w:val="bottom"/>
          </w:tcPr>
          <w:p>
            <w:pPr>
              <w:pStyle w:val="TableContents"/>
              <w:bidi w:val="0"/>
              <w:spacing w:before="0" w:after="283"/>
              <w:jc w:val="left"/>
              <w:rPr/>
            </w:pPr>
            <w:r>
              <w:rPr/>
              <w:t>  </w:t>
            </w:r>
          </w:p>
        </w:tc>
        <w:tc>
          <w:tcPr>
            <w:tcW w:w="9208" w:type="dxa"/>
            <w:tcBorders/>
          </w:tcPr>
          <w:p>
            <w:pPr>
              <w:pStyle w:val="TableContents"/>
              <w:bidi w:val="0"/>
              <w:spacing w:before="0" w:after="283"/>
              <w:jc w:val="left"/>
              <w:rPr/>
            </w:pPr>
            <w:hyperlink r:id="rId16">
              <w:r>
                <w:rPr>
                  <w:rStyle w:val="InternetLink"/>
                </w:rPr>
                <w:t xml:space="preserve">General Motors Company 2020 Long-Term Incentive Plan (incorporated by reference to Exhibit 4.1 to the Registration Statement on Form S-8 of General Motors Company filed June 25, 2020) </w:t>
              </w:r>
            </w:hyperlink>
          </w:p>
        </w:tc>
      </w:tr>
      <w:tr>
        <w:trPr>
          <w:trHeight w:val="120" w:hRule="atLeast"/>
        </w:trPr>
        <w:tc>
          <w:tcPr>
            <w:tcW w:w="571" w:type="dxa"/>
            <w:tcBorders/>
            <w:vAlign w:val="center"/>
          </w:tcPr>
          <w:p>
            <w:pPr>
              <w:pStyle w:val="TableContents"/>
              <w:bidi w:val="0"/>
              <w:spacing w:before="0" w:after="283"/>
              <w:jc w:val="left"/>
              <w:rPr>
                <w:sz w:val="4"/>
                <w:szCs w:val="4"/>
              </w:rPr>
            </w:pPr>
            <w:r>
              <w:rPr>
                <w:sz w:val="4"/>
                <w:szCs w:val="4"/>
              </w:rPr>
            </w:r>
          </w:p>
        </w:tc>
        <w:tc>
          <w:tcPr>
            <w:tcW w:w="9634" w:type="dxa"/>
            <w:gridSpan w:val="2"/>
            <w:tcBorders/>
            <w:vAlign w:val="center"/>
          </w:tcPr>
          <w:p>
            <w:pPr>
              <w:pStyle w:val="TableContents"/>
              <w:bidi w:val="0"/>
              <w:spacing w:before="0" w:after="283"/>
              <w:jc w:val="left"/>
              <w:rPr>
                <w:sz w:val="4"/>
                <w:szCs w:val="4"/>
              </w:rPr>
            </w:pPr>
            <w:r>
              <w:rPr>
                <w:sz w:val="4"/>
                <w:szCs w:val="4"/>
              </w:rPr>
            </w:r>
          </w:p>
        </w:tc>
      </w:tr>
      <w:tr>
        <w:trPr/>
        <w:tc>
          <w:tcPr>
            <w:tcW w:w="571" w:type="dxa"/>
            <w:tcBorders/>
          </w:tcPr>
          <w:p>
            <w:pPr>
              <w:pStyle w:val="TableContents"/>
              <w:bidi w:val="0"/>
              <w:spacing w:before="0" w:after="283"/>
              <w:jc w:val="left"/>
              <w:rPr/>
            </w:pPr>
            <w:r>
              <w:rPr/>
              <w:t>99.2</w:t>
            </w:r>
          </w:p>
        </w:tc>
        <w:tc>
          <w:tcPr>
            <w:tcW w:w="426" w:type="dxa"/>
            <w:tcBorders/>
            <w:vAlign w:val="bottom"/>
          </w:tcPr>
          <w:p>
            <w:pPr>
              <w:pStyle w:val="TableContents"/>
              <w:bidi w:val="0"/>
              <w:spacing w:before="0" w:after="283"/>
              <w:jc w:val="left"/>
              <w:rPr/>
            </w:pPr>
            <w:r>
              <w:rPr/>
              <w:t>  </w:t>
            </w:r>
          </w:p>
        </w:tc>
        <w:tc>
          <w:tcPr>
            <w:tcW w:w="9208" w:type="dxa"/>
            <w:tcBorders/>
          </w:tcPr>
          <w:p>
            <w:pPr>
              <w:pStyle w:val="TableContents"/>
              <w:bidi w:val="0"/>
              <w:spacing w:before="0" w:after="283"/>
              <w:jc w:val="left"/>
              <w:rPr/>
            </w:pPr>
            <w:r>
              <w:fldChar w:fldCharType="begin"/>
            </w:r>
            <w:r>
              <w:rPr>
                <w:rStyle w:val="InternetLink"/>
              </w:rPr>
              <w:instrText xml:space="preserve"> HYPERLINK "http://www.sec.gov/Archives/edgar/data/1467858/000119312523126270/d333787ddef14a.htm" \l "toc333787_48"</w:instrText>
            </w:r>
            <w:r>
              <w:rPr>
                <w:rStyle w:val="InternetLink"/>
              </w:rPr>
              <w:fldChar w:fldCharType="separate"/>
            </w:r>
            <w:r>
              <w:rPr>
                <w:rStyle w:val="InternetLink"/>
              </w:rPr>
              <w:t xml:space="preserve">Amendment No.  1 to the General Motors Company 2020 Long-Term Incentive Plan (incorporated by reference to Appendix B of the Definitive Proxy Statement of General Motors Company, filed April 28, 2023) </w:t>
            </w:r>
            <w:r>
              <w:rPr>
                <w:rStyle w:val="InternetLink"/>
              </w:rPr>
              <w:fldChar w:fldCharType="end"/>
            </w:r>
          </w:p>
        </w:tc>
      </w:tr>
      <w:tr>
        <w:trPr>
          <w:trHeight w:val="120" w:hRule="atLeast"/>
        </w:trPr>
        <w:tc>
          <w:tcPr>
            <w:tcW w:w="571" w:type="dxa"/>
            <w:tcBorders/>
            <w:vAlign w:val="center"/>
          </w:tcPr>
          <w:p>
            <w:pPr>
              <w:pStyle w:val="TableContents"/>
              <w:bidi w:val="0"/>
              <w:spacing w:before="0" w:after="283"/>
              <w:jc w:val="left"/>
              <w:rPr>
                <w:sz w:val="4"/>
                <w:szCs w:val="4"/>
              </w:rPr>
            </w:pPr>
            <w:r>
              <w:rPr>
                <w:sz w:val="4"/>
                <w:szCs w:val="4"/>
              </w:rPr>
            </w:r>
          </w:p>
        </w:tc>
        <w:tc>
          <w:tcPr>
            <w:tcW w:w="9634" w:type="dxa"/>
            <w:gridSpan w:val="2"/>
            <w:tcBorders/>
            <w:vAlign w:val="center"/>
          </w:tcPr>
          <w:p>
            <w:pPr>
              <w:pStyle w:val="TableContents"/>
              <w:bidi w:val="0"/>
              <w:spacing w:before="0" w:after="283"/>
              <w:jc w:val="left"/>
              <w:rPr>
                <w:sz w:val="4"/>
                <w:szCs w:val="4"/>
              </w:rPr>
            </w:pPr>
            <w:r>
              <w:rPr>
                <w:sz w:val="4"/>
                <w:szCs w:val="4"/>
              </w:rPr>
            </w:r>
          </w:p>
        </w:tc>
      </w:tr>
      <w:tr>
        <w:trPr/>
        <w:tc>
          <w:tcPr>
            <w:tcW w:w="571" w:type="dxa"/>
            <w:tcBorders/>
          </w:tcPr>
          <w:p>
            <w:pPr>
              <w:pStyle w:val="TableContents"/>
              <w:bidi w:val="0"/>
              <w:spacing w:before="0" w:after="283"/>
              <w:jc w:val="left"/>
              <w:rPr/>
            </w:pPr>
            <w:r>
              <w:rPr/>
              <w:t>99.3</w:t>
            </w:r>
          </w:p>
        </w:tc>
        <w:tc>
          <w:tcPr>
            <w:tcW w:w="426" w:type="dxa"/>
            <w:tcBorders/>
            <w:vAlign w:val="bottom"/>
          </w:tcPr>
          <w:p>
            <w:pPr>
              <w:pStyle w:val="TableContents"/>
              <w:bidi w:val="0"/>
              <w:spacing w:before="0" w:after="283"/>
              <w:jc w:val="left"/>
              <w:rPr/>
            </w:pPr>
            <w:r>
              <w:rPr/>
              <w:t>  </w:t>
            </w:r>
          </w:p>
        </w:tc>
        <w:tc>
          <w:tcPr>
            <w:tcW w:w="9208" w:type="dxa"/>
            <w:tcBorders/>
          </w:tcPr>
          <w:p>
            <w:pPr>
              <w:pStyle w:val="TableContents"/>
              <w:bidi w:val="0"/>
              <w:spacing w:before="0" w:after="283"/>
              <w:jc w:val="left"/>
              <w:rPr/>
            </w:pPr>
            <w:r>
              <w:fldChar w:fldCharType="begin"/>
            </w:r>
            <w:r>
              <w:rPr>
                <w:rStyle w:val="InternetLink"/>
              </w:rPr>
              <w:instrText xml:space="preserve"> HYPERLINK "http://www.sec.gov/Archives/edgar/data/1467858/000146785826000022/gm-20260420.htm" \l "idd7ec7bd38b646a0a19839f0dfb7e9b4_549755815101"</w:instrText>
            </w:r>
            <w:r>
              <w:rPr>
                <w:rStyle w:val="InternetLink"/>
              </w:rPr>
              <w:fldChar w:fldCharType="separate"/>
            </w:r>
            <w:r>
              <w:rPr>
                <w:rStyle w:val="InternetLink"/>
              </w:rPr>
              <w:t xml:space="preserve">Amendment No.  2 to the General Motors Company 2020 Long-Term Incentive Plan (incorporated by reference to Appendix B of the Definitive Proxy Statement of General Motors Company, filed April 20, 2026) </w:t>
            </w:r>
            <w:r>
              <w:rPr>
                <w:rStyle w:val="InternetLink"/>
              </w:rPr>
              <w:fldChar w:fldCharType="end"/>
            </w:r>
          </w:p>
        </w:tc>
      </w:tr>
      <w:tr>
        <w:trPr>
          <w:trHeight w:val="120" w:hRule="atLeast"/>
        </w:trPr>
        <w:tc>
          <w:tcPr>
            <w:tcW w:w="571" w:type="dxa"/>
            <w:tcBorders/>
            <w:vAlign w:val="center"/>
          </w:tcPr>
          <w:p>
            <w:pPr>
              <w:pStyle w:val="TableContents"/>
              <w:bidi w:val="0"/>
              <w:spacing w:before="0" w:after="283"/>
              <w:jc w:val="left"/>
              <w:rPr>
                <w:sz w:val="4"/>
                <w:szCs w:val="4"/>
              </w:rPr>
            </w:pPr>
            <w:r>
              <w:rPr>
                <w:sz w:val="4"/>
                <w:szCs w:val="4"/>
              </w:rPr>
            </w:r>
          </w:p>
        </w:tc>
        <w:tc>
          <w:tcPr>
            <w:tcW w:w="9634" w:type="dxa"/>
            <w:gridSpan w:val="2"/>
            <w:tcBorders/>
            <w:vAlign w:val="center"/>
          </w:tcPr>
          <w:p>
            <w:pPr>
              <w:pStyle w:val="TableContents"/>
              <w:bidi w:val="0"/>
              <w:spacing w:before="0" w:after="283"/>
              <w:jc w:val="left"/>
              <w:rPr>
                <w:sz w:val="4"/>
                <w:szCs w:val="4"/>
              </w:rPr>
            </w:pPr>
            <w:r>
              <w:rPr>
                <w:sz w:val="4"/>
                <w:szCs w:val="4"/>
              </w:rPr>
            </w:r>
          </w:p>
        </w:tc>
      </w:tr>
      <w:tr>
        <w:trPr/>
        <w:tc>
          <w:tcPr>
            <w:tcW w:w="571" w:type="dxa"/>
            <w:tcBorders/>
          </w:tcPr>
          <w:p>
            <w:pPr>
              <w:pStyle w:val="TableContents"/>
              <w:bidi w:val="0"/>
              <w:spacing w:before="0" w:after="283"/>
              <w:jc w:val="left"/>
              <w:rPr/>
            </w:pPr>
            <w:r>
              <w:rPr/>
              <w:t>107*</w:t>
            </w:r>
          </w:p>
        </w:tc>
        <w:tc>
          <w:tcPr>
            <w:tcW w:w="426" w:type="dxa"/>
            <w:tcBorders/>
            <w:vAlign w:val="bottom"/>
          </w:tcPr>
          <w:p>
            <w:pPr>
              <w:pStyle w:val="TableContents"/>
              <w:bidi w:val="0"/>
              <w:spacing w:before="0" w:after="283"/>
              <w:jc w:val="left"/>
              <w:rPr/>
            </w:pPr>
            <w:r>
              <w:rPr/>
              <w:t>  </w:t>
            </w:r>
          </w:p>
        </w:tc>
        <w:tc>
          <w:tcPr>
            <w:tcW w:w="9208" w:type="dxa"/>
            <w:tcBorders/>
          </w:tcPr>
          <w:p>
            <w:pPr>
              <w:pStyle w:val="TableContents"/>
              <w:bidi w:val="0"/>
              <w:spacing w:before="0" w:after="283"/>
              <w:jc w:val="left"/>
              <w:rPr/>
            </w:pPr>
            <w:hyperlink w:anchor="d142844dexfilingfees.htm">
              <w:r>
                <w:rPr>
                  <w:rStyle w:val="InternetLink"/>
                </w:rPr>
                <w:t xml:space="preserve">Filing Fee Table </w:t>
              </w:r>
            </w:hyperlink>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9. Undertakings.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file, during any period in which offers or sales are being made, a post-effective amendment to this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(i)</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prospectus required by Section 10(a)(3) of the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(ii)</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Filing Fees’’ table in the effective Registration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(iii)</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material information with respect to the plan of distribution not previously disclosed in the Registration Statement or any material change to such information in the Registration Statement. </w:t>
            </w:r>
          </w:p>
        </w:tc>
      </w:tr>
    </w:tbl>
    <w:p>
      <w:pPr>
        <w:pStyle w:val="TextBody"/>
        <w:bidi w:val="0"/>
        <w:spacing w:before="240" w:after="0"/>
        <w:jc w:val="left"/>
        <w:rPr>
          <w:rFonts w:ascii="Times New Roman" w:hAnsi="Times New Roman"/>
          <w:sz w:val="20"/>
        </w:rPr>
      </w:pPr>
      <w:r>
        <w:rPr>
          <w:rFonts w:ascii="Times New Roman" w:hAnsi="Times New Roman"/>
          <w:i/>
          <w:sz w:val="20"/>
        </w:rPr>
        <w:t>Provided, however</w:t>
      </w:r>
      <w:r>
        <w:rPr>
          <w:rFonts w:ascii="Times New Roman" w:hAnsi="Times New Roman"/>
          <w:sz w:val="20"/>
        </w:rPr>
        <w:t xml:space="preserve">, that paragraphs 1(a)(i) and 1(a)(ii) do not apply if the information required to be included in a post-effective amendment by those paragraphs is contained in reports filed with or furnished to the SEC by the Registrant pursuant to Section 13 or Section 15(d) of the Exchange Act that are incorporated by reference into this Registration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remove from registration by means of a post-effective amendment any of the securities being registered which remain unsold at the termination of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3.</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Detroit, State of Michigan, on July 21,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92"/>
        <w:gridCol w:w="102"/>
        <w:gridCol w:w="408"/>
        <w:gridCol w:w="60"/>
        <w:gridCol w:w="23"/>
        <w:gridCol w:w="102"/>
        <w:gridCol w:w="23"/>
        <w:gridCol w:w="101"/>
        <w:gridCol w:w="4694"/>
      </w:tblGrid>
      <w:tr>
        <w:trPr/>
        <w:tc>
          <w:tcPr>
            <w:tcW w:w="469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694"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Pr>
          <w:p>
            <w:pPr>
              <w:pStyle w:val="TableContents"/>
              <w:bidi w:val="0"/>
              <w:spacing w:before="0" w:after="283"/>
              <w:jc w:val="left"/>
              <w:rPr/>
            </w:pPr>
            <w:r>
              <w:rPr/>
              <w:t>General Motors Company</w:t>
            </w:r>
          </w:p>
        </w:tc>
      </w:tr>
      <w:tr>
        <w:trPr>
          <w:trHeight w:val="240" w:hRule="atLeast"/>
        </w:trPr>
        <w:tc>
          <w:tcPr>
            <w:tcW w:w="4692" w:type="dxa"/>
            <w:tcBorders/>
            <w:vAlign w:val="center"/>
          </w:tcPr>
          <w:p>
            <w:pPr>
              <w:pStyle w:val="TableContents"/>
              <w:bidi w:val="0"/>
              <w:spacing w:before="0" w:after="283"/>
              <w:jc w:val="left"/>
              <w:rPr>
                <w:sz w:val="4"/>
                <w:szCs w:val="4"/>
              </w:rPr>
            </w:pPr>
            <w:r>
              <w:rPr>
                <w:sz w:val="4"/>
                <w:szCs w:val="4"/>
              </w:rPr>
            </w:r>
          </w:p>
        </w:tc>
        <w:tc>
          <w:tcPr>
            <w:tcW w:w="510"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25" w:type="dxa"/>
            <w:gridSpan w:val="2"/>
            <w:tcBorders/>
            <w:vAlign w:val="center"/>
          </w:tcPr>
          <w:p>
            <w:pPr>
              <w:pStyle w:val="TableContents"/>
              <w:bidi w:val="0"/>
              <w:spacing w:before="0" w:after="283"/>
              <w:jc w:val="left"/>
              <w:rPr>
                <w:sz w:val="4"/>
                <w:szCs w:val="4"/>
              </w:rPr>
            </w:pPr>
            <w:r>
              <w:rPr>
                <w:sz w:val="4"/>
                <w:szCs w:val="4"/>
              </w:rPr>
            </w:r>
          </w:p>
        </w:tc>
        <w:tc>
          <w:tcPr>
            <w:tcW w:w="4795" w:type="dxa"/>
            <w:gridSpan w:val="2"/>
            <w:tcBorders/>
            <w:vAlign w:val="center"/>
          </w:tcPr>
          <w:p>
            <w:pPr>
              <w:pStyle w:val="TableContents"/>
              <w:bidi w:val="0"/>
              <w:spacing w:before="0" w:after="283"/>
              <w:jc w:val="left"/>
              <w:rPr>
                <w:sz w:val="4"/>
                <w:szCs w:val="4"/>
              </w:rPr>
            </w:pPr>
            <w:r>
              <w:rPr>
                <w:sz w:val="4"/>
                <w:szCs w:val="4"/>
              </w:rPr>
            </w:r>
          </w:p>
        </w:tc>
      </w:tr>
      <w:tr>
        <w:trPr/>
        <w:tc>
          <w:tcPr>
            <w:tcW w:w="4692" w:type="dxa"/>
            <w:tcBorders/>
          </w:tcPr>
          <w:p>
            <w:pPr>
              <w:pStyle w:val="TableContents"/>
              <w:bidi w:val="0"/>
              <w:spacing w:before="0" w:after="283"/>
              <w:jc w:val="left"/>
              <w:rPr/>
            </w:pPr>
            <w:r>
              <w:rPr/>
              <w:t>By:</w:t>
            </w:r>
          </w:p>
        </w:tc>
        <w:tc>
          <w:tcPr>
            <w:tcW w:w="102"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694"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John S. Kim</w:t>
            </w:r>
          </w:p>
        </w:tc>
      </w:tr>
      <w:tr>
        <w:trPr/>
        <w:tc>
          <w:tcPr>
            <w:tcW w:w="469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694" w:type="dxa"/>
            <w:tcBorders/>
          </w:tcPr>
          <w:p>
            <w:pPr>
              <w:pStyle w:val="TableContents"/>
              <w:bidi w:val="0"/>
              <w:spacing w:before="0" w:after="283"/>
              <w:jc w:val="center"/>
              <w:rPr/>
            </w:pPr>
            <w:r>
              <w:rPr/>
              <w:t>John S. Kim</w:t>
            </w:r>
          </w:p>
        </w:tc>
      </w:tr>
      <w:tr>
        <w:trPr/>
        <w:tc>
          <w:tcPr>
            <w:tcW w:w="469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694" w:type="dxa"/>
            <w:tcBorders/>
          </w:tcPr>
          <w:p>
            <w:pPr>
              <w:pStyle w:val="TableContents"/>
              <w:bidi w:val="0"/>
              <w:spacing w:before="0" w:after="0"/>
              <w:jc w:val="center"/>
              <w:rPr>
                <w:rFonts w:ascii="Times New Roman" w:hAnsi="Times New Roman"/>
                <w:i/>
                <w:sz w:val="20"/>
              </w:rPr>
            </w:pPr>
            <w:r>
              <w:rPr>
                <w:rFonts w:ascii="Times New Roman" w:hAnsi="Times New Roman"/>
                <w:i/>
                <w:sz w:val="20"/>
              </w:rPr>
              <w:t>Assistant Corporate Secretary and</w:t>
            </w:r>
          </w:p>
          <w:p>
            <w:pPr>
              <w:pStyle w:val="TableContents"/>
              <w:bidi w:val="0"/>
              <w:spacing w:before="0" w:after="20"/>
              <w:jc w:val="center"/>
              <w:rPr>
                <w:rFonts w:ascii="Times New Roman" w:hAnsi="Times New Roman"/>
                <w:i/>
                <w:sz w:val="20"/>
              </w:rPr>
            </w:pPr>
            <w:r>
              <w:rPr>
                <w:rFonts w:ascii="Times New Roman" w:hAnsi="Times New Roman"/>
                <w:i/>
                <w:sz w:val="20"/>
              </w:rPr>
              <w:t>Assistant General Counsel</w:t>
            </w:r>
          </w:p>
        </w:tc>
      </w:tr>
    </w:tbl>
    <w:p>
      <w:pPr>
        <w:pStyle w:val="TextBody"/>
        <w:bidi w:val="0"/>
        <w:spacing w:before="480" w:after="0"/>
        <w:jc w:val="center"/>
        <w:rPr>
          <w:rFonts w:ascii="Times New Roman" w:hAnsi="Times New Roman"/>
          <w:b/>
          <w:sz w:val="20"/>
        </w:rPr>
      </w:pPr>
      <w:bookmarkStart w:id="2" w:name="sig"/>
      <w:bookmarkEnd w:id="2"/>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Each person whose signature appears below constitutes and appoints John S. Kim his or her true and lawful attorney-in-fact and agent with full power of substitution and resubstitution, for him or her and in his or her name, place and stead, in any and all capacities, to sign any and all amendments (including post-effective amendments) to this Registration Statement on Form S-8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and about the foregoing, as fully to all intents and purposes as he or she might or could do in person, hereby ratifying and confirming all that said attorney-in-fact and agent, or any of his substitutes, may lawfully do or cause to be done by virtue hereof.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26"/>
        <w:gridCol w:w="122"/>
        <w:gridCol w:w="5744"/>
        <w:gridCol w:w="122"/>
        <w:gridCol w:w="1691"/>
      </w:tblGrid>
      <w:tr>
        <w:trPr/>
        <w:tc>
          <w:tcPr>
            <w:tcW w:w="2526"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574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r>
      <w:tr>
        <w:trPr/>
        <w:tc>
          <w:tcPr>
            <w:tcW w:w="252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Signature</w:t>
            </w:r>
          </w:p>
        </w:tc>
        <w:tc>
          <w:tcPr>
            <w:tcW w:w="122" w:type="dxa"/>
            <w:tcBorders/>
            <w:vAlign w:val="bottom"/>
          </w:tcPr>
          <w:p>
            <w:pPr>
              <w:pStyle w:val="TableContents"/>
              <w:bidi w:val="0"/>
              <w:spacing w:before="0" w:after="283"/>
              <w:jc w:val="left"/>
              <w:rPr/>
            </w:pPr>
            <w:r>
              <w:rPr/>
              <w:t>  </w:t>
            </w:r>
          </w:p>
        </w:tc>
        <w:tc>
          <w:tcPr>
            <w:tcW w:w="574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Title</w:t>
            </w:r>
          </w:p>
        </w:tc>
        <w:tc>
          <w:tcPr>
            <w:tcW w:w="122" w:type="dxa"/>
            <w:tcBorders/>
            <w:vAlign w:val="bottom"/>
          </w:tcPr>
          <w:p>
            <w:pPr>
              <w:pStyle w:val="TableContents"/>
              <w:bidi w:val="0"/>
              <w:spacing w:before="0" w:after="283"/>
              <w:jc w:val="left"/>
              <w:rPr/>
            </w:pPr>
            <w:r>
              <w:rPr/>
              <w:t>  </w:t>
            </w:r>
          </w:p>
        </w:tc>
        <w:tc>
          <w:tcPr>
            <w:tcW w:w="169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Date</w:t>
            </w:r>
          </w:p>
        </w:tc>
      </w:tr>
      <w:tr>
        <w:trPr>
          <w:trHeight w:val="240" w:hRule="atLeast"/>
        </w:trPr>
        <w:tc>
          <w:tcPr>
            <w:tcW w:w="2526" w:type="dxa"/>
            <w:tcBorders/>
            <w:vAlign w:val="center"/>
          </w:tcPr>
          <w:p>
            <w:pPr>
              <w:pStyle w:val="TableContents"/>
              <w:bidi w:val="0"/>
              <w:spacing w:before="0" w:after="283"/>
              <w:jc w:val="left"/>
              <w:rPr>
                <w:sz w:val="4"/>
                <w:szCs w:val="4"/>
              </w:rPr>
            </w:pPr>
            <w:r>
              <w:rPr>
                <w:sz w:val="4"/>
                <w:szCs w:val="4"/>
              </w:rPr>
            </w:r>
          </w:p>
        </w:tc>
        <w:tc>
          <w:tcPr>
            <w:tcW w:w="5866" w:type="dxa"/>
            <w:gridSpan w:val="2"/>
            <w:tcBorders/>
            <w:vAlign w:val="center"/>
          </w:tcPr>
          <w:p>
            <w:pPr>
              <w:pStyle w:val="TableContents"/>
              <w:bidi w:val="0"/>
              <w:spacing w:before="0" w:after="283"/>
              <w:jc w:val="left"/>
              <w:rPr>
                <w:sz w:val="4"/>
                <w:szCs w:val="4"/>
              </w:rPr>
            </w:pPr>
            <w:r>
              <w:rPr>
                <w:sz w:val="4"/>
                <w:szCs w:val="4"/>
              </w:rPr>
            </w:r>
          </w:p>
        </w:tc>
        <w:tc>
          <w:tcPr>
            <w:tcW w:w="1813" w:type="dxa"/>
            <w:gridSpan w:val="2"/>
            <w:tcBorders/>
            <w:vAlign w:val="center"/>
          </w:tcPr>
          <w:p>
            <w:pPr>
              <w:pStyle w:val="TableContents"/>
              <w:bidi w:val="0"/>
              <w:spacing w:before="0" w:after="283"/>
              <w:jc w:val="left"/>
              <w:rPr>
                <w:sz w:val="4"/>
                <w:szCs w:val="4"/>
              </w:rPr>
            </w:pPr>
            <w:r>
              <w:rPr>
                <w:sz w:val="4"/>
                <w:szCs w:val="4"/>
              </w:rPr>
            </w:r>
          </w:p>
        </w:tc>
      </w:tr>
      <w:tr>
        <w:trPr/>
        <w:tc>
          <w:tcPr>
            <w:tcW w:w="252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Mary T. Barra</w:t>
            </w:r>
          </w:p>
        </w:tc>
        <w:tc>
          <w:tcPr>
            <w:tcW w:w="122" w:type="dxa"/>
            <w:tcBorders/>
            <w:vAlign w:val="bottom"/>
          </w:tcPr>
          <w:p>
            <w:pPr>
              <w:pStyle w:val="TableContents"/>
              <w:bidi w:val="0"/>
              <w:spacing w:before="0" w:after="283"/>
              <w:jc w:val="left"/>
              <w:rPr/>
            </w:pPr>
            <w:r>
              <w:rPr/>
              <w:t>  </w:t>
            </w:r>
          </w:p>
        </w:tc>
        <w:tc>
          <w:tcPr>
            <w:tcW w:w="5744" w:type="dxa"/>
            <w:tcBorders/>
          </w:tcPr>
          <w:p>
            <w:pPr>
              <w:pStyle w:val="TableContents"/>
              <w:bidi w:val="0"/>
              <w:spacing w:before="0" w:after="283"/>
              <w:jc w:val="center"/>
              <w:rPr/>
            </w:pPr>
            <w:r>
              <w:rPr/>
              <w:t>Chair and Chief Executive Officer</w:t>
            </w:r>
          </w:p>
        </w:tc>
        <w:tc>
          <w:tcPr>
            <w:tcW w:w="122" w:type="dxa"/>
            <w:tcBorders/>
            <w:vAlign w:val="bottom"/>
          </w:tcPr>
          <w:p>
            <w:pPr>
              <w:pStyle w:val="TableContents"/>
              <w:bidi w:val="0"/>
              <w:spacing w:before="0" w:after="283"/>
              <w:jc w:val="left"/>
              <w:rPr/>
            </w:pPr>
            <w:r>
              <w:rPr/>
              <w:t>  </w:t>
            </w:r>
          </w:p>
        </w:tc>
        <w:tc>
          <w:tcPr>
            <w:tcW w:w="1691" w:type="dxa"/>
            <w:tcBorders/>
          </w:tcPr>
          <w:p>
            <w:pPr>
              <w:pStyle w:val="TableContents"/>
              <w:bidi w:val="0"/>
              <w:spacing w:before="0" w:after="283"/>
              <w:jc w:val="center"/>
              <w:rPr/>
            </w:pPr>
            <w:r>
              <w:rPr/>
              <w:t>July 21, 2026</w:t>
            </w:r>
          </w:p>
        </w:tc>
      </w:tr>
      <w:tr>
        <w:trPr/>
        <w:tc>
          <w:tcPr>
            <w:tcW w:w="2526" w:type="dxa"/>
            <w:tcBorders/>
          </w:tcPr>
          <w:p>
            <w:pPr>
              <w:pStyle w:val="TableContents"/>
              <w:bidi w:val="0"/>
              <w:spacing w:before="0" w:after="283"/>
              <w:jc w:val="left"/>
              <w:rPr/>
            </w:pPr>
            <w:r>
              <w:rPr/>
              <w:t>Mary T. Barra</w:t>
            </w:r>
          </w:p>
        </w:tc>
        <w:tc>
          <w:tcPr>
            <w:tcW w:w="122" w:type="dxa"/>
            <w:tcBorders/>
            <w:vAlign w:val="bottom"/>
          </w:tcPr>
          <w:p>
            <w:pPr>
              <w:pStyle w:val="TableContents"/>
              <w:bidi w:val="0"/>
              <w:spacing w:before="0" w:after="283"/>
              <w:jc w:val="left"/>
              <w:rPr/>
            </w:pPr>
            <w:r>
              <w:rPr/>
              <w:t>  </w:t>
            </w:r>
          </w:p>
        </w:tc>
        <w:tc>
          <w:tcPr>
            <w:tcW w:w="5744" w:type="dxa"/>
            <w:tcBorders/>
          </w:tcPr>
          <w:p>
            <w:pPr>
              <w:pStyle w:val="TableContents"/>
              <w:bidi w:val="0"/>
              <w:spacing w:before="0" w:after="283"/>
              <w:jc w:val="center"/>
              <w:rPr/>
            </w:pPr>
            <w:r>
              <w:rPr/>
              <w:t>(Principal Executive Officer)</w:t>
            </w:r>
          </w:p>
        </w:tc>
        <w:tc>
          <w:tcPr>
            <w:tcW w:w="122" w:type="dxa"/>
            <w:tcBorders/>
            <w:vAlign w:val="bottom"/>
          </w:tcPr>
          <w:p>
            <w:pPr>
              <w:pStyle w:val="TableContents"/>
              <w:bidi w:val="0"/>
              <w:spacing w:before="0" w:after="283"/>
              <w:jc w:val="left"/>
              <w:rPr/>
            </w:pPr>
            <w:r>
              <w:rPr/>
              <w:t>  </w:t>
            </w:r>
          </w:p>
        </w:tc>
        <w:tc>
          <w:tcPr>
            <w:tcW w:w="1691" w:type="dxa"/>
            <w:tcBorders/>
          </w:tcPr>
          <w:p>
            <w:pPr>
              <w:pStyle w:val="TableContents"/>
              <w:bidi w:val="0"/>
              <w:spacing w:before="0" w:after="283"/>
              <w:jc w:val="left"/>
              <w:rPr>
                <w:sz w:val="4"/>
                <w:szCs w:val="4"/>
              </w:rPr>
            </w:pPr>
            <w:r>
              <w:rPr>
                <w:sz w:val="4"/>
                <w:szCs w:val="4"/>
              </w:rPr>
            </w:r>
          </w:p>
        </w:tc>
      </w:tr>
      <w:tr>
        <w:trPr>
          <w:trHeight w:val="240" w:hRule="atLeast"/>
        </w:trPr>
        <w:tc>
          <w:tcPr>
            <w:tcW w:w="2526" w:type="dxa"/>
            <w:tcBorders/>
            <w:vAlign w:val="center"/>
          </w:tcPr>
          <w:p>
            <w:pPr>
              <w:pStyle w:val="TableContents"/>
              <w:bidi w:val="0"/>
              <w:spacing w:before="0" w:after="283"/>
              <w:jc w:val="left"/>
              <w:rPr>
                <w:sz w:val="4"/>
                <w:szCs w:val="4"/>
              </w:rPr>
            </w:pPr>
            <w:r>
              <w:rPr>
                <w:sz w:val="4"/>
                <w:szCs w:val="4"/>
              </w:rPr>
            </w:r>
          </w:p>
        </w:tc>
        <w:tc>
          <w:tcPr>
            <w:tcW w:w="5866" w:type="dxa"/>
            <w:gridSpan w:val="2"/>
            <w:tcBorders/>
            <w:vAlign w:val="center"/>
          </w:tcPr>
          <w:p>
            <w:pPr>
              <w:pStyle w:val="TableContents"/>
              <w:bidi w:val="0"/>
              <w:spacing w:before="0" w:after="283"/>
              <w:jc w:val="left"/>
              <w:rPr>
                <w:sz w:val="4"/>
                <w:szCs w:val="4"/>
              </w:rPr>
            </w:pPr>
            <w:r>
              <w:rPr>
                <w:sz w:val="4"/>
                <w:szCs w:val="4"/>
              </w:rPr>
            </w:r>
          </w:p>
        </w:tc>
        <w:tc>
          <w:tcPr>
            <w:tcW w:w="1813" w:type="dxa"/>
            <w:gridSpan w:val="2"/>
            <w:tcBorders/>
            <w:vAlign w:val="center"/>
          </w:tcPr>
          <w:p>
            <w:pPr>
              <w:pStyle w:val="TableContents"/>
              <w:bidi w:val="0"/>
              <w:spacing w:before="0" w:after="283"/>
              <w:jc w:val="left"/>
              <w:rPr>
                <w:sz w:val="4"/>
                <w:szCs w:val="4"/>
              </w:rPr>
            </w:pPr>
            <w:r>
              <w:rPr>
                <w:sz w:val="4"/>
                <w:szCs w:val="4"/>
              </w:rPr>
            </w:r>
          </w:p>
        </w:tc>
      </w:tr>
      <w:tr>
        <w:trPr/>
        <w:tc>
          <w:tcPr>
            <w:tcW w:w="252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Paul A. Jacobson</w:t>
            </w:r>
          </w:p>
        </w:tc>
        <w:tc>
          <w:tcPr>
            <w:tcW w:w="122" w:type="dxa"/>
            <w:tcBorders/>
            <w:vAlign w:val="bottom"/>
          </w:tcPr>
          <w:p>
            <w:pPr>
              <w:pStyle w:val="TableContents"/>
              <w:bidi w:val="0"/>
              <w:spacing w:before="0" w:after="283"/>
              <w:jc w:val="left"/>
              <w:rPr/>
            </w:pPr>
            <w:r>
              <w:rPr/>
              <w:t>  </w:t>
            </w:r>
          </w:p>
        </w:tc>
        <w:tc>
          <w:tcPr>
            <w:tcW w:w="5744" w:type="dxa"/>
            <w:tcBorders/>
          </w:tcPr>
          <w:p>
            <w:pPr>
              <w:pStyle w:val="TableContents"/>
              <w:bidi w:val="0"/>
              <w:spacing w:before="0" w:after="283"/>
              <w:jc w:val="center"/>
              <w:rPr/>
            </w:pPr>
            <w:r>
              <w:rPr/>
              <w:t>Executive Vice President and Chief Financial Officer</w:t>
            </w:r>
          </w:p>
        </w:tc>
        <w:tc>
          <w:tcPr>
            <w:tcW w:w="122" w:type="dxa"/>
            <w:tcBorders/>
            <w:vAlign w:val="bottom"/>
          </w:tcPr>
          <w:p>
            <w:pPr>
              <w:pStyle w:val="TableContents"/>
              <w:bidi w:val="0"/>
              <w:spacing w:before="0" w:after="283"/>
              <w:jc w:val="left"/>
              <w:rPr/>
            </w:pPr>
            <w:r>
              <w:rPr/>
              <w:t>  </w:t>
            </w:r>
          </w:p>
        </w:tc>
        <w:tc>
          <w:tcPr>
            <w:tcW w:w="1691" w:type="dxa"/>
            <w:tcBorders/>
          </w:tcPr>
          <w:p>
            <w:pPr>
              <w:pStyle w:val="TableContents"/>
              <w:bidi w:val="0"/>
              <w:spacing w:before="0" w:after="283"/>
              <w:jc w:val="center"/>
              <w:rPr/>
            </w:pPr>
            <w:r>
              <w:rPr/>
              <w:t>July 21, 2026</w:t>
            </w:r>
          </w:p>
        </w:tc>
      </w:tr>
      <w:tr>
        <w:trPr/>
        <w:tc>
          <w:tcPr>
            <w:tcW w:w="2526" w:type="dxa"/>
            <w:tcBorders/>
          </w:tcPr>
          <w:p>
            <w:pPr>
              <w:pStyle w:val="TableContents"/>
              <w:bidi w:val="0"/>
              <w:spacing w:before="0" w:after="283"/>
              <w:jc w:val="left"/>
              <w:rPr/>
            </w:pPr>
            <w:r>
              <w:rPr/>
              <w:t>Paul A. Jacobson</w:t>
            </w:r>
          </w:p>
        </w:tc>
        <w:tc>
          <w:tcPr>
            <w:tcW w:w="122" w:type="dxa"/>
            <w:tcBorders/>
            <w:vAlign w:val="bottom"/>
          </w:tcPr>
          <w:p>
            <w:pPr>
              <w:pStyle w:val="TableContents"/>
              <w:bidi w:val="0"/>
              <w:spacing w:before="0" w:after="283"/>
              <w:jc w:val="left"/>
              <w:rPr/>
            </w:pPr>
            <w:r>
              <w:rPr/>
              <w:t>  </w:t>
            </w:r>
          </w:p>
        </w:tc>
        <w:tc>
          <w:tcPr>
            <w:tcW w:w="5744" w:type="dxa"/>
            <w:tcBorders/>
          </w:tcPr>
          <w:p>
            <w:pPr>
              <w:pStyle w:val="TableContents"/>
              <w:bidi w:val="0"/>
              <w:spacing w:before="0" w:after="283"/>
              <w:jc w:val="center"/>
              <w:rPr/>
            </w:pPr>
            <w:r>
              <w:rPr/>
              <w:t>(Principal Financial Officer)</w:t>
            </w:r>
          </w:p>
        </w:tc>
        <w:tc>
          <w:tcPr>
            <w:tcW w:w="122" w:type="dxa"/>
            <w:tcBorders/>
            <w:vAlign w:val="bottom"/>
          </w:tcPr>
          <w:p>
            <w:pPr>
              <w:pStyle w:val="TableContents"/>
              <w:bidi w:val="0"/>
              <w:spacing w:before="0" w:after="283"/>
              <w:jc w:val="left"/>
              <w:rPr/>
            </w:pPr>
            <w:r>
              <w:rPr/>
              <w:t>  </w:t>
            </w:r>
          </w:p>
        </w:tc>
        <w:tc>
          <w:tcPr>
            <w:tcW w:w="1691" w:type="dxa"/>
            <w:tcBorders/>
          </w:tcPr>
          <w:p>
            <w:pPr>
              <w:pStyle w:val="TableContents"/>
              <w:bidi w:val="0"/>
              <w:spacing w:before="0" w:after="283"/>
              <w:jc w:val="left"/>
              <w:rPr>
                <w:sz w:val="4"/>
                <w:szCs w:val="4"/>
              </w:rPr>
            </w:pPr>
            <w:r>
              <w:rPr>
                <w:sz w:val="4"/>
                <w:szCs w:val="4"/>
              </w:rPr>
            </w:r>
          </w:p>
        </w:tc>
      </w:tr>
      <w:tr>
        <w:trPr>
          <w:trHeight w:val="240" w:hRule="atLeast"/>
        </w:trPr>
        <w:tc>
          <w:tcPr>
            <w:tcW w:w="2526" w:type="dxa"/>
            <w:tcBorders/>
            <w:vAlign w:val="center"/>
          </w:tcPr>
          <w:p>
            <w:pPr>
              <w:pStyle w:val="TableContents"/>
              <w:bidi w:val="0"/>
              <w:spacing w:before="0" w:after="283"/>
              <w:jc w:val="left"/>
              <w:rPr>
                <w:sz w:val="4"/>
                <w:szCs w:val="4"/>
              </w:rPr>
            </w:pPr>
            <w:r>
              <w:rPr>
                <w:sz w:val="4"/>
                <w:szCs w:val="4"/>
              </w:rPr>
            </w:r>
          </w:p>
        </w:tc>
        <w:tc>
          <w:tcPr>
            <w:tcW w:w="5866" w:type="dxa"/>
            <w:gridSpan w:val="2"/>
            <w:tcBorders/>
            <w:vAlign w:val="center"/>
          </w:tcPr>
          <w:p>
            <w:pPr>
              <w:pStyle w:val="TableContents"/>
              <w:bidi w:val="0"/>
              <w:spacing w:before="0" w:after="283"/>
              <w:jc w:val="left"/>
              <w:rPr>
                <w:sz w:val="4"/>
                <w:szCs w:val="4"/>
              </w:rPr>
            </w:pPr>
            <w:r>
              <w:rPr>
                <w:sz w:val="4"/>
                <w:szCs w:val="4"/>
              </w:rPr>
            </w:r>
          </w:p>
        </w:tc>
        <w:tc>
          <w:tcPr>
            <w:tcW w:w="1813" w:type="dxa"/>
            <w:gridSpan w:val="2"/>
            <w:tcBorders/>
            <w:vAlign w:val="center"/>
          </w:tcPr>
          <w:p>
            <w:pPr>
              <w:pStyle w:val="TableContents"/>
              <w:bidi w:val="0"/>
              <w:spacing w:before="0" w:after="283"/>
              <w:jc w:val="left"/>
              <w:rPr>
                <w:sz w:val="4"/>
                <w:szCs w:val="4"/>
              </w:rPr>
            </w:pPr>
            <w:r>
              <w:rPr>
                <w:sz w:val="4"/>
                <w:szCs w:val="4"/>
              </w:rPr>
            </w:r>
          </w:p>
        </w:tc>
      </w:tr>
      <w:tr>
        <w:trPr/>
        <w:tc>
          <w:tcPr>
            <w:tcW w:w="252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Christopher T. Hatto</w:t>
            </w:r>
          </w:p>
        </w:tc>
        <w:tc>
          <w:tcPr>
            <w:tcW w:w="122" w:type="dxa"/>
            <w:tcBorders/>
            <w:vAlign w:val="bottom"/>
          </w:tcPr>
          <w:p>
            <w:pPr>
              <w:pStyle w:val="TableContents"/>
              <w:bidi w:val="0"/>
              <w:spacing w:before="0" w:after="283"/>
              <w:jc w:val="left"/>
              <w:rPr/>
            </w:pPr>
            <w:r>
              <w:rPr/>
              <w:t>  </w:t>
            </w:r>
          </w:p>
        </w:tc>
        <w:tc>
          <w:tcPr>
            <w:tcW w:w="5744" w:type="dxa"/>
            <w:tcBorders/>
          </w:tcPr>
          <w:p>
            <w:pPr>
              <w:pStyle w:val="TableContents"/>
              <w:bidi w:val="0"/>
              <w:spacing w:before="0" w:after="283"/>
              <w:jc w:val="center"/>
              <w:rPr/>
            </w:pPr>
            <w:r>
              <w:rPr/>
              <w:t>Vice President, Global Business Solutions and Chief Accounting Officer</w:t>
            </w:r>
          </w:p>
        </w:tc>
        <w:tc>
          <w:tcPr>
            <w:tcW w:w="122" w:type="dxa"/>
            <w:tcBorders/>
            <w:vAlign w:val="bottom"/>
          </w:tcPr>
          <w:p>
            <w:pPr>
              <w:pStyle w:val="TableContents"/>
              <w:bidi w:val="0"/>
              <w:spacing w:before="0" w:after="283"/>
              <w:jc w:val="left"/>
              <w:rPr/>
            </w:pPr>
            <w:r>
              <w:rPr/>
              <w:t>  </w:t>
            </w:r>
          </w:p>
        </w:tc>
        <w:tc>
          <w:tcPr>
            <w:tcW w:w="1691" w:type="dxa"/>
            <w:tcBorders/>
          </w:tcPr>
          <w:p>
            <w:pPr>
              <w:pStyle w:val="TableContents"/>
              <w:bidi w:val="0"/>
              <w:spacing w:before="0" w:after="283"/>
              <w:jc w:val="center"/>
              <w:rPr/>
            </w:pPr>
            <w:r>
              <w:rPr/>
              <w:t>July 21, 2026</w:t>
            </w:r>
          </w:p>
        </w:tc>
      </w:tr>
      <w:tr>
        <w:trPr/>
        <w:tc>
          <w:tcPr>
            <w:tcW w:w="2526" w:type="dxa"/>
            <w:tcBorders/>
          </w:tcPr>
          <w:p>
            <w:pPr>
              <w:pStyle w:val="TableContents"/>
              <w:bidi w:val="0"/>
              <w:spacing w:before="0" w:after="283"/>
              <w:jc w:val="left"/>
              <w:rPr/>
            </w:pPr>
            <w:r>
              <w:rPr/>
              <w:t>Christopher T. Hatto</w:t>
            </w:r>
          </w:p>
        </w:tc>
        <w:tc>
          <w:tcPr>
            <w:tcW w:w="122" w:type="dxa"/>
            <w:tcBorders/>
            <w:vAlign w:val="bottom"/>
          </w:tcPr>
          <w:p>
            <w:pPr>
              <w:pStyle w:val="TableContents"/>
              <w:bidi w:val="0"/>
              <w:spacing w:before="0" w:after="283"/>
              <w:jc w:val="left"/>
              <w:rPr/>
            </w:pPr>
            <w:r>
              <w:rPr/>
              <w:t>  </w:t>
            </w:r>
          </w:p>
        </w:tc>
        <w:tc>
          <w:tcPr>
            <w:tcW w:w="5744" w:type="dxa"/>
            <w:tcBorders/>
          </w:tcPr>
          <w:p>
            <w:pPr>
              <w:pStyle w:val="TableContents"/>
              <w:bidi w:val="0"/>
              <w:spacing w:before="0" w:after="283"/>
              <w:jc w:val="center"/>
              <w:rPr/>
            </w:pPr>
            <w:r>
              <w:rPr/>
              <w:t>(Principal Accounting Officer)</w:t>
            </w:r>
          </w:p>
        </w:tc>
        <w:tc>
          <w:tcPr>
            <w:tcW w:w="122" w:type="dxa"/>
            <w:tcBorders/>
            <w:vAlign w:val="bottom"/>
          </w:tcPr>
          <w:p>
            <w:pPr>
              <w:pStyle w:val="TableContents"/>
              <w:bidi w:val="0"/>
              <w:spacing w:before="0" w:after="283"/>
              <w:jc w:val="left"/>
              <w:rPr/>
            </w:pPr>
            <w:r>
              <w:rPr/>
              <w:t>  </w:t>
            </w:r>
          </w:p>
        </w:tc>
        <w:tc>
          <w:tcPr>
            <w:tcW w:w="1691" w:type="dxa"/>
            <w:tcBorders/>
          </w:tcPr>
          <w:p>
            <w:pPr>
              <w:pStyle w:val="TableContents"/>
              <w:bidi w:val="0"/>
              <w:spacing w:before="0" w:after="283"/>
              <w:jc w:val="left"/>
              <w:rPr>
                <w:sz w:val="4"/>
                <w:szCs w:val="4"/>
              </w:rPr>
            </w:pPr>
            <w:r>
              <w:rPr>
                <w:sz w:val="4"/>
                <w:szCs w:val="4"/>
              </w:rPr>
            </w:r>
          </w:p>
        </w:tc>
      </w:tr>
      <w:tr>
        <w:trPr>
          <w:trHeight w:val="240" w:hRule="atLeast"/>
        </w:trPr>
        <w:tc>
          <w:tcPr>
            <w:tcW w:w="2526" w:type="dxa"/>
            <w:tcBorders/>
            <w:vAlign w:val="center"/>
          </w:tcPr>
          <w:p>
            <w:pPr>
              <w:pStyle w:val="TableContents"/>
              <w:bidi w:val="0"/>
              <w:spacing w:before="0" w:after="283"/>
              <w:jc w:val="left"/>
              <w:rPr>
                <w:sz w:val="4"/>
                <w:szCs w:val="4"/>
              </w:rPr>
            </w:pPr>
            <w:r>
              <w:rPr>
                <w:sz w:val="4"/>
                <w:szCs w:val="4"/>
              </w:rPr>
            </w:r>
          </w:p>
        </w:tc>
        <w:tc>
          <w:tcPr>
            <w:tcW w:w="5866" w:type="dxa"/>
            <w:gridSpan w:val="2"/>
            <w:tcBorders/>
            <w:vAlign w:val="center"/>
          </w:tcPr>
          <w:p>
            <w:pPr>
              <w:pStyle w:val="TableContents"/>
              <w:bidi w:val="0"/>
              <w:spacing w:before="0" w:after="283"/>
              <w:jc w:val="left"/>
              <w:rPr>
                <w:sz w:val="4"/>
                <w:szCs w:val="4"/>
              </w:rPr>
            </w:pPr>
            <w:r>
              <w:rPr>
                <w:sz w:val="4"/>
                <w:szCs w:val="4"/>
              </w:rPr>
            </w:r>
          </w:p>
        </w:tc>
        <w:tc>
          <w:tcPr>
            <w:tcW w:w="1813" w:type="dxa"/>
            <w:gridSpan w:val="2"/>
            <w:tcBorders/>
            <w:vAlign w:val="center"/>
          </w:tcPr>
          <w:p>
            <w:pPr>
              <w:pStyle w:val="TableContents"/>
              <w:bidi w:val="0"/>
              <w:spacing w:before="0" w:after="283"/>
              <w:jc w:val="left"/>
              <w:rPr>
                <w:sz w:val="4"/>
                <w:szCs w:val="4"/>
              </w:rPr>
            </w:pPr>
            <w:r>
              <w:rPr>
                <w:sz w:val="4"/>
                <w:szCs w:val="4"/>
              </w:rPr>
            </w:r>
          </w:p>
        </w:tc>
      </w:tr>
      <w:tr>
        <w:trPr/>
        <w:tc>
          <w:tcPr>
            <w:tcW w:w="252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Patricia F. Russo</w:t>
            </w:r>
          </w:p>
        </w:tc>
        <w:tc>
          <w:tcPr>
            <w:tcW w:w="122" w:type="dxa"/>
            <w:tcBorders/>
            <w:vAlign w:val="bottom"/>
          </w:tcPr>
          <w:p>
            <w:pPr>
              <w:pStyle w:val="TableContents"/>
              <w:bidi w:val="0"/>
              <w:spacing w:before="0" w:after="283"/>
              <w:jc w:val="left"/>
              <w:rPr/>
            </w:pPr>
            <w:r>
              <w:rPr/>
              <w:t>  </w:t>
            </w:r>
          </w:p>
        </w:tc>
        <w:tc>
          <w:tcPr>
            <w:tcW w:w="5744" w:type="dxa"/>
            <w:tcBorders/>
          </w:tcPr>
          <w:p>
            <w:pPr>
              <w:pStyle w:val="TableContents"/>
              <w:bidi w:val="0"/>
              <w:spacing w:before="0" w:after="283"/>
              <w:jc w:val="center"/>
              <w:rPr/>
            </w:pPr>
            <w:r>
              <w:rPr/>
              <w:t>Independent Lead Director</w:t>
            </w:r>
          </w:p>
        </w:tc>
        <w:tc>
          <w:tcPr>
            <w:tcW w:w="122" w:type="dxa"/>
            <w:tcBorders/>
            <w:vAlign w:val="bottom"/>
          </w:tcPr>
          <w:p>
            <w:pPr>
              <w:pStyle w:val="TableContents"/>
              <w:bidi w:val="0"/>
              <w:spacing w:before="0" w:after="283"/>
              <w:jc w:val="left"/>
              <w:rPr/>
            </w:pPr>
            <w:r>
              <w:rPr/>
              <w:t>  </w:t>
            </w:r>
          </w:p>
        </w:tc>
        <w:tc>
          <w:tcPr>
            <w:tcW w:w="1691" w:type="dxa"/>
            <w:tcBorders/>
          </w:tcPr>
          <w:p>
            <w:pPr>
              <w:pStyle w:val="TableContents"/>
              <w:bidi w:val="0"/>
              <w:spacing w:before="0" w:after="283"/>
              <w:jc w:val="center"/>
              <w:rPr/>
            </w:pPr>
            <w:r>
              <w:rPr/>
              <w:t>July 21, 2026</w:t>
            </w:r>
          </w:p>
        </w:tc>
      </w:tr>
      <w:tr>
        <w:trPr/>
        <w:tc>
          <w:tcPr>
            <w:tcW w:w="2526" w:type="dxa"/>
            <w:tcBorders/>
          </w:tcPr>
          <w:p>
            <w:pPr>
              <w:pStyle w:val="TableContents"/>
              <w:bidi w:val="0"/>
              <w:spacing w:before="0" w:after="283"/>
              <w:jc w:val="left"/>
              <w:rPr/>
            </w:pPr>
            <w:r>
              <w:rPr/>
              <w:t>Patricia F. Russo</w:t>
            </w:r>
          </w:p>
        </w:tc>
        <w:tc>
          <w:tcPr>
            <w:tcW w:w="122" w:type="dxa"/>
            <w:tcBorders/>
            <w:vAlign w:val="bottom"/>
          </w:tcPr>
          <w:p>
            <w:pPr>
              <w:pStyle w:val="TableContents"/>
              <w:bidi w:val="0"/>
              <w:spacing w:before="0" w:after="283"/>
              <w:jc w:val="left"/>
              <w:rPr/>
            </w:pPr>
            <w:r>
              <w:rPr/>
              <w:t>  </w:t>
            </w:r>
          </w:p>
        </w:tc>
        <w:tc>
          <w:tcPr>
            <w:tcW w:w="5744"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691" w:type="dxa"/>
            <w:tcBorders/>
          </w:tcPr>
          <w:p>
            <w:pPr>
              <w:pStyle w:val="TableContents"/>
              <w:bidi w:val="0"/>
              <w:spacing w:before="0" w:after="283"/>
              <w:jc w:val="left"/>
              <w:rPr>
                <w:sz w:val="4"/>
                <w:szCs w:val="4"/>
              </w:rPr>
            </w:pPr>
            <w:r>
              <w:rPr>
                <w:sz w:val="4"/>
                <w:szCs w:val="4"/>
              </w:rPr>
            </w:r>
          </w:p>
        </w:tc>
      </w:tr>
      <w:tr>
        <w:trPr>
          <w:trHeight w:val="240" w:hRule="atLeast"/>
        </w:trPr>
        <w:tc>
          <w:tcPr>
            <w:tcW w:w="2526" w:type="dxa"/>
            <w:tcBorders/>
            <w:vAlign w:val="center"/>
          </w:tcPr>
          <w:p>
            <w:pPr>
              <w:pStyle w:val="TableContents"/>
              <w:bidi w:val="0"/>
              <w:spacing w:before="0" w:after="283"/>
              <w:jc w:val="left"/>
              <w:rPr>
                <w:sz w:val="4"/>
                <w:szCs w:val="4"/>
              </w:rPr>
            </w:pPr>
            <w:r>
              <w:rPr>
                <w:sz w:val="4"/>
                <w:szCs w:val="4"/>
              </w:rPr>
            </w:r>
          </w:p>
        </w:tc>
        <w:tc>
          <w:tcPr>
            <w:tcW w:w="5866" w:type="dxa"/>
            <w:gridSpan w:val="2"/>
            <w:tcBorders/>
            <w:vAlign w:val="center"/>
          </w:tcPr>
          <w:p>
            <w:pPr>
              <w:pStyle w:val="TableContents"/>
              <w:bidi w:val="0"/>
              <w:spacing w:before="0" w:after="283"/>
              <w:jc w:val="left"/>
              <w:rPr>
                <w:sz w:val="4"/>
                <w:szCs w:val="4"/>
              </w:rPr>
            </w:pPr>
            <w:r>
              <w:rPr>
                <w:sz w:val="4"/>
                <w:szCs w:val="4"/>
              </w:rPr>
            </w:r>
          </w:p>
        </w:tc>
        <w:tc>
          <w:tcPr>
            <w:tcW w:w="1813" w:type="dxa"/>
            <w:gridSpan w:val="2"/>
            <w:tcBorders/>
            <w:vAlign w:val="center"/>
          </w:tcPr>
          <w:p>
            <w:pPr>
              <w:pStyle w:val="TableContents"/>
              <w:bidi w:val="0"/>
              <w:spacing w:before="0" w:after="283"/>
              <w:jc w:val="left"/>
              <w:rPr>
                <w:sz w:val="4"/>
                <w:szCs w:val="4"/>
              </w:rPr>
            </w:pPr>
            <w:r>
              <w:rPr>
                <w:sz w:val="4"/>
                <w:szCs w:val="4"/>
              </w:rPr>
            </w:r>
          </w:p>
        </w:tc>
      </w:tr>
      <w:tr>
        <w:trPr/>
        <w:tc>
          <w:tcPr>
            <w:tcW w:w="252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Wesley G. Bush</w:t>
            </w:r>
          </w:p>
        </w:tc>
        <w:tc>
          <w:tcPr>
            <w:tcW w:w="122" w:type="dxa"/>
            <w:tcBorders/>
            <w:vAlign w:val="bottom"/>
          </w:tcPr>
          <w:p>
            <w:pPr>
              <w:pStyle w:val="TableContents"/>
              <w:bidi w:val="0"/>
              <w:spacing w:before="0" w:after="283"/>
              <w:jc w:val="left"/>
              <w:rPr/>
            </w:pPr>
            <w:r>
              <w:rPr/>
              <w:t>  </w:t>
            </w:r>
          </w:p>
        </w:tc>
        <w:tc>
          <w:tcPr>
            <w:tcW w:w="5744" w:type="dxa"/>
            <w:tcBorders/>
          </w:tcPr>
          <w:p>
            <w:pPr>
              <w:pStyle w:val="TableContents"/>
              <w:bidi w:val="0"/>
              <w:spacing w:before="0" w:after="283"/>
              <w:jc w:val="center"/>
              <w:rPr/>
            </w:pPr>
            <w:r>
              <w:rPr/>
              <w:t>Director</w:t>
            </w:r>
          </w:p>
        </w:tc>
        <w:tc>
          <w:tcPr>
            <w:tcW w:w="122" w:type="dxa"/>
            <w:tcBorders/>
            <w:vAlign w:val="bottom"/>
          </w:tcPr>
          <w:p>
            <w:pPr>
              <w:pStyle w:val="TableContents"/>
              <w:bidi w:val="0"/>
              <w:spacing w:before="0" w:after="283"/>
              <w:jc w:val="left"/>
              <w:rPr/>
            </w:pPr>
            <w:r>
              <w:rPr/>
              <w:t>  </w:t>
            </w:r>
          </w:p>
        </w:tc>
        <w:tc>
          <w:tcPr>
            <w:tcW w:w="1691" w:type="dxa"/>
            <w:tcBorders/>
          </w:tcPr>
          <w:p>
            <w:pPr>
              <w:pStyle w:val="TableContents"/>
              <w:bidi w:val="0"/>
              <w:spacing w:before="0" w:after="283"/>
              <w:jc w:val="center"/>
              <w:rPr/>
            </w:pPr>
            <w:r>
              <w:rPr/>
              <w:t>July 21, 2026</w:t>
            </w:r>
          </w:p>
        </w:tc>
      </w:tr>
      <w:tr>
        <w:trPr/>
        <w:tc>
          <w:tcPr>
            <w:tcW w:w="2526" w:type="dxa"/>
            <w:tcBorders/>
          </w:tcPr>
          <w:p>
            <w:pPr>
              <w:pStyle w:val="TableContents"/>
              <w:bidi w:val="0"/>
              <w:spacing w:before="0" w:after="283"/>
              <w:jc w:val="left"/>
              <w:rPr/>
            </w:pPr>
            <w:r>
              <w:rPr/>
              <w:t>Wesley G. Bush</w:t>
            </w:r>
          </w:p>
        </w:tc>
        <w:tc>
          <w:tcPr>
            <w:tcW w:w="122" w:type="dxa"/>
            <w:tcBorders/>
            <w:vAlign w:val="bottom"/>
          </w:tcPr>
          <w:p>
            <w:pPr>
              <w:pStyle w:val="TableContents"/>
              <w:bidi w:val="0"/>
              <w:spacing w:before="0" w:after="283"/>
              <w:jc w:val="left"/>
              <w:rPr/>
            </w:pPr>
            <w:r>
              <w:rPr/>
              <w:t>  </w:t>
            </w:r>
          </w:p>
        </w:tc>
        <w:tc>
          <w:tcPr>
            <w:tcW w:w="5744"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691" w:type="dxa"/>
            <w:tcBorders/>
          </w:tcPr>
          <w:p>
            <w:pPr>
              <w:pStyle w:val="TableContents"/>
              <w:bidi w:val="0"/>
              <w:spacing w:before="0" w:after="283"/>
              <w:jc w:val="left"/>
              <w:rPr>
                <w:sz w:val="4"/>
                <w:szCs w:val="4"/>
              </w:rPr>
            </w:pPr>
            <w:r>
              <w:rPr>
                <w:sz w:val="4"/>
                <w:szCs w:val="4"/>
              </w:rPr>
            </w:r>
          </w:p>
        </w:tc>
      </w:tr>
      <w:tr>
        <w:trPr>
          <w:trHeight w:val="240" w:hRule="atLeast"/>
        </w:trPr>
        <w:tc>
          <w:tcPr>
            <w:tcW w:w="2526" w:type="dxa"/>
            <w:tcBorders/>
            <w:vAlign w:val="center"/>
          </w:tcPr>
          <w:p>
            <w:pPr>
              <w:pStyle w:val="TableContents"/>
              <w:bidi w:val="0"/>
              <w:spacing w:before="0" w:after="283"/>
              <w:jc w:val="left"/>
              <w:rPr>
                <w:sz w:val="4"/>
                <w:szCs w:val="4"/>
              </w:rPr>
            </w:pPr>
            <w:r>
              <w:rPr>
                <w:sz w:val="4"/>
                <w:szCs w:val="4"/>
              </w:rPr>
            </w:r>
          </w:p>
        </w:tc>
        <w:tc>
          <w:tcPr>
            <w:tcW w:w="5866" w:type="dxa"/>
            <w:gridSpan w:val="2"/>
            <w:tcBorders/>
            <w:vAlign w:val="center"/>
          </w:tcPr>
          <w:p>
            <w:pPr>
              <w:pStyle w:val="TableContents"/>
              <w:bidi w:val="0"/>
              <w:spacing w:before="0" w:after="283"/>
              <w:jc w:val="left"/>
              <w:rPr>
                <w:sz w:val="4"/>
                <w:szCs w:val="4"/>
              </w:rPr>
            </w:pPr>
            <w:r>
              <w:rPr>
                <w:sz w:val="4"/>
                <w:szCs w:val="4"/>
              </w:rPr>
            </w:r>
          </w:p>
        </w:tc>
        <w:tc>
          <w:tcPr>
            <w:tcW w:w="1813" w:type="dxa"/>
            <w:gridSpan w:val="2"/>
            <w:tcBorders/>
            <w:vAlign w:val="center"/>
          </w:tcPr>
          <w:p>
            <w:pPr>
              <w:pStyle w:val="TableContents"/>
              <w:bidi w:val="0"/>
              <w:spacing w:before="0" w:after="283"/>
              <w:jc w:val="left"/>
              <w:rPr>
                <w:sz w:val="4"/>
                <w:szCs w:val="4"/>
              </w:rPr>
            </w:pPr>
            <w:r>
              <w:rPr>
                <w:sz w:val="4"/>
                <w:szCs w:val="4"/>
              </w:rPr>
            </w:r>
          </w:p>
        </w:tc>
      </w:tr>
      <w:tr>
        <w:trPr/>
        <w:tc>
          <w:tcPr>
            <w:tcW w:w="252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Joanne C. Crevoiserat</w:t>
            </w:r>
          </w:p>
        </w:tc>
        <w:tc>
          <w:tcPr>
            <w:tcW w:w="122" w:type="dxa"/>
            <w:tcBorders/>
            <w:vAlign w:val="bottom"/>
          </w:tcPr>
          <w:p>
            <w:pPr>
              <w:pStyle w:val="TableContents"/>
              <w:bidi w:val="0"/>
              <w:spacing w:before="0" w:after="283"/>
              <w:jc w:val="left"/>
              <w:rPr/>
            </w:pPr>
            <w:r>
              <w:rPr/>
              <w:t>  </w:t>
            </w:r>
          </w:p>
        </w:tc>
        <w:tc>
          <w:tcPr>
            <w:tcW w:w="5744" w:type="dxa"/>
            <w:tcBorders/>
          </w:tcPr>
          <w:p>
            <w:pPr>
              <w:pStyle w:val="TableContents"/>
              <w:bidi w:val="0"/>
              <w:spacing w:before="0" w:after="283"/>
              <w:jc w:val="center"/>
              <w:rPr/>
            </w:pPr>
            <w:r>
              <w:rPr/>
              <w:t>Director</w:t>
            </w:r>
          </w:p>
        </w:tc>
        <w:tc>
          <w:tcPr>
            <w:tcW w:w="122" w:type="dxa"/>
            <w:tcBorders/>
            <w:vAlign w:val="bottom"/>
          </w:tcPr>
          <w:p>
            <w:pPr>
              <w:pStyle w:val="TableContents"/>
              <w:bidi w:val="0"/>
              <w:spacing w:before="0" w:after="283"/>
              <w:jc w:val="left"/>
              <w:rPr/>
            </w:pPr>
            <w:r>
              <w:rPr/>
              <w:t>  </w:t>
            </w:r>
          </w:p>
        </w:tc>
        <w:tc>
          <w:tcPr>
            <w:tcW w:w="1691" w:type="dxa"/>
            <w:tcBorders/>
          </w:tcPr>
          <w:p>
            <w:pPr>
              <w:pStyle w:val="TableContents"/>
              <w:bidi w:val="0"/>
              <w:spacing w:before="0" w:after="283"/>
              <w:jc w:val="center"/>
              <w:rPr/>
            </w:pPr>
            <w:r>
              <w:rPr/>
              <w:t>July 21, 2026</w:t>
            </w:r>
          </w:p>
        </w:tc>
      </w:tr>
      <w:tr>
        <w:trPr/>
        <w:tc>
          <w:tcPr>
            <w:tcW w:w="2526" w:type="dxa"/>
            <w:tcBorders/>
          </w:tcPr>
          <w:p>
            <w:pPr>
              <w:pStyle w:val="TableContents"/>
              <w:bidi w:val="0"/>
              <w:spacing w:before="0" w:after="283"/>
              <w:jc w:val="left"/>
              <w:rPr/>
            </w:pPr>
            <w:r>
              <w:rPr/>
              <w:t>Joanne C. Crevoiserat</w:t>
            </w:r>
          </w:p>
        </w:tc>
        <w:tc>
          <w:tcPr>
            <w:tcW w:w="122" w:type="dxa"/>
            <w:tcBorders/>
            <w:vAlign w:val="bottom"/>
          </w:tcPr>
          <w:p>
            <w:pPr>
              <w:pStyle w:val="TableContents"/>
              <w:bidi w:val="0"/>
              <w:spacing w:before="0" w:after="283"/>
              <w:jc w:val="left"/>
              <w:rPr/>
            </w:pPr>
            <w:r>
              <w:rPr/>
              <w:t>  </w:t>
            </w:r>
          </w:p>
        </w:tc>
        <w:tc>
          <w:tcPr>
            <w:tcW w:w="5744"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691" w:type="dxa"/>
            <w:tcBorders/>
          </w:tcPr>
          <w:p>
            <w:pPr>
              <w:pStyle w:val="TableContents"/>
              <w:bidi w:val="0"/>
              <w:spacing w:before="0" w:after="283"/>
              <w:jc w:val="left"/>
              <w:rPr>
                <w:sz w:val="4"/>
                <w:szCs w:val="4"/>
              </w:rPr>
            </w:pPr>
            <w:r>
              <w:rPr>
                <w:sz w:val="4"/>
                <w:szCs w:val="4"/>
              </w:rPr>
            </w:r>
          </w:p>
        </w:tc>
      </w:tr>
      <w:tr>
        <w:trPr>
          <w:trHeight w:val="240" w:hRule="atLeast"/>
        </w:trPr>
        <w:tc>
          <w:tcPr>
            <w:tcW w:w="2526" w:type="dxa"/>
            <w:tcBorders/>
            <w:vAlign w:val="center"/>
          </w:tcPr>
          <w:p>
            <w:pPr>
              <w:pStyle w:val="TableContents"/>
              <w:bidi w:val="0"/>
              <w:spacing w:before="0" w:after="283"/>
              <w:jc w:val="left"/>
              <w:rPr>
                <w:sz w:val="4"/>
                <w:szCs w:val="4"/>
              </w:rPr>
            </w:pPr>
            <w:r>
              <w:rPr>
                <w:sz w:val="4"/>
                <w:szCs w:val="4"/>
              </w:rPr>
            </w:r>
          </w:p>
        </w:tc>
        <w:tc>
          <w:tcPr>
            <w:tcW w:w="5866" w:type="dxa"/>
            <w:gridSpan w:val="2"/>
            <w:tcBorders/>
            <w:vAlign w:val="center"/>
          </w:tcPr>
          <w:p>
            <w:pPr>
              <w:pStyle w:val="TableContents"/>
              <w:bidi w:val="0"/>
              <w:spacing w:before="0" w:after="283"/>
              <w:jc w:val="left"/>
              <w:rPr>
                <w:sz w:val="4"/>
                <w:szCs w:val="4"/>
              </w:rPr>
            </w:pPr>
            <w:r>
              <w:rPr>
                <w:sz w:val="4"/>
                <w:szCs w:val="4"/>
              </w:rPr>
            </w:r>
          </w:p>
        </w:tc>
        <w:tc>
          <w:tcPr>
            <w:tcW w:w="1813" w:type="dxa"/>
            <w:gridSpan w:val="2"/>
            <w:tcBorders/>
            <w:vAlign w:val="center"/>
          </w:tcPr>
          <w:p>
            <w:pPr>
              <w:pStyle w:val="TableContents"/>
              <w:bidi w:val="0"/>
              <w:spacing w:before="0" w:after="283"/>
              <w:jc w:val="left"/>
              <w:rPr>
                <w:sz w:val="4"/>
                <w:szCs w:val="4"/>
              </w:rPr>
            </w:pPr>
            <w:r>
              <w:rPr>
                <w:sz w:val="4"/>
                <w:szCs w:val="4"/>
              </w:rPr>
            </w:r>
          </w:p>
        </w:tc>
      </w:tr>
      <w:tr>
        <w:trPr/>
        <w:tc>
          <w:tcPr>
            <w:tcW w:w="252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Joseph Jimenez</w:t>
            </w:r>
          </w:p>
        </w:tc>
        <w:tc>
          <w:tcPr>
            <w:tcW w:w="122" w:type="dxa"/>
            <w:tcBorders/>
            <w:vAlign w:val="bottom"/>
          </w:tcPr>
          <w:p>
            <w:pPr>
              <w:pStyle w:val="TableContents"/>
              <w:bidi w:val="0"/>
              <w:spacing w:before="0" w:after="283"/>
              <w:jc w:val="left"/>
              <w:rPr/>
            </w:pPr>
            <w:r>
              <w:rPr/>
              <w:t>  </w:t>
            </w:r>
          </w:p>
        </w:tc>
        <w:tc>
          <w:tcPr>
            <w:tcW w:w="5744" w:type="dxa"/>
            <w:tcBorders/>
          </w:tcPr>
          <w:p>
            <w:pPr>
              <w:pStyle w:val="TableContents"/>
              <w:bidi w:val="0"/>
              <w:spacing w:before="0" w:after="283"/>
              <w:jc w:val="center"/>
              <w:rPr/>
            </w:pPr>
            <w:r>
              <w:rPr/>
              <w:t>Director</w:t>
            </w:r>
          </w:p>
        </w:tc>
        <w:tc>
          <w:tcPr>
            <w:tcW w:w="122" w:type="dxa"/>
            <w:tcBorders/>
            <w:vAlign w:val="bottom"/>
          </w:tcPr>
          <w:p>
            <w:pPr>
              <w:pStyle w:val="TableContents"/>
              <w:bidi w:val="0"/>
              <w:spacing w:before="0" w:after="283"/>
              <w:jc w:val="left"/>
              <w:rPr/>
            </w:pPr>
            <w:r>
              <w:rPr/>
              <w:t>  </w:t>
            </w:r>
          </w:p>
        </w:tc>
        <w:tc>
          <w:tcPr>
            <w:tcW w:w="1691" w:type="dxa"/>
            <w:tcBorders/>
          </w:tcPr>
          <w:p>
            <w:pPr>
              <w:pStyle w:val="TableContents"/>
              <w:bidi w:val="0"/>
              <w:spacing w:before="0" w:after="283"/>
              <w:jc w:val="center"/>
              <w:rPr/>
            </w:pPr>
            <w:r>
              <w:rPr/>
              <w:t>July 21, 2026</w:t>
            </w:r>
          </w:p>
        </w:tc>
      </w:tr>
      <w:tr>
        <w:trPr/>
        <w:tc>
          <w:tcPr>
            <w:tcW w:w="2526" w:type="dxa"/>
            <w:tcBorders/>
          </w:tcPr>
          <w:p>
            <w:pPr>
              <w:pStyle w:val="TableContents"/>
              <w:bidi w:val="0"/>
              <w:spacing w:before="0" w:after="283"/>
              <w:jc w:val="left"/>
              <w:rPr/>
            </w:pPr>
            <w:r>
              <w:rPr/>
              <w:t>Joseph Jimenez</w:t>
            </w:r>
          </w:p>
        </w:tc>
        <w:tc>
          <w:tcPr>
            <w:tcW w:w="122" w:type="dxa"/>
            <w:tcBorders/>
            <w:vAlign w:val="bottom"/>
          </w:tcPr>
          <w:p>
            <w:pPr>
              <w:pStyle w:val="TableContents"/>
              <w:bidi w:val="0"/>
              <w:spacing w:before="0" w:after="283"/>
              <w:jc w:val="left"/>
              <w:rPr/>
            </w:pPr>
            <w:r>
              <w:rPr/>
              <w:t>  </w:t>
            </w:r>
          </w:p>
        </w:tc>
        <w:tc>
          <w:tcPr>
            <w:tcW w:w="5744"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691" w:type="dxa"/>
            <w:tcBorders/>
          </w:tcPr>
          <w:p>
            <w:pPr>
              <w:pStyle w:val="TableContents"/>
              <w:bidi w:val="0"/>
              <w:spacing w:before="0" w:after="283"/>
              <w:jc w:val="left"/>
              <w:rPr>
                <w:sz w:val="4"/>
                <w:szCs w:val="4"/>
              </w:rPr>
            </w:pPr>
            <w:r>
              <w:rPr>
                <w:sz w:val="4"/>
                <w:szCs w:val="4"/>
              </w:rPr>
            </w:r>
          </w:p>
        </w:tc>
      </w:tr>
      <w:tr>
        <w:trPr>
          <w:trHeight w:val="240" w:hRule="atLeast"/>
        </w:trPr>
        <w:tc>
          <w:tcPr>
            <w:tcW w:w="2526" w:type="dxa"/>
            <w:tcBorders/>
            <w:vAlign w:val="center"/>
          </w:tcPr>
          <w:p>
            <w:pPr>
              <w:pStyle w:val="TableContents"/>
              <w:bidi w:val="0"/>
              <w:spacing w:before="0" w:after="283"/>
              <w:jc w:val="left"/>
              <w:rPr>
                <w:sz w:val="4"/>
                <w:szCs w:val="4"/>
              </w:rPr>
            </w:pPr>
            <w:r>
              <w:rPr>
                <w:sz w:val="4"/>
                <w:szCs w:val="4"/>
              </w:rPr>
            </w:r>
          </w:p>
        </w:tc>
        <w:tc>
          <w:tcPr>
            <w:tcW w:w="5866" w:type="dxa"/>
            <w:gridSpan w:val="2"/>
            <w:tcBorders/>
            <w:vAlign w:val="center"/>
          </w:tcPr>
          <w:p>
            <w:pPr>
              <w:pStyle w:val="TableContents"/>
              <w:bidi w:val="0"/>
              <w:spacing w:before="0" w:after="283"/>
              <w:jc w:val="left"/>
              <w:rPr>
                <w:sz w:val="4"/>
                <w:szCs w:val="4"/>
              </w:rPr>
            </w:pPr>
            <w:r>
              <w:rPr>
                <w:sz w:val="4"/>
                <w:szCs w:val="4"/>
              </w:rPr>
            </w:r>
          </w:p>
        </w:tc>
        <w:tc>
          <w:tcPr>
            <w:tcW w:w="1813" w:type="dxa"/>
            <w:gridSpan w:val="2"/>
            <w:tcBorders/>
            <w:vAlign w:val="center"/>
          </w:tcPr>
          <w:p>
            <w:pPr>
              <w:pStyle w:val="TableContents"/>
              <w:bidi w:val="0"/>
              <w:spacing w:before="0" w:after="283"/>
              <w:jc w:val="left"/>
              <w:rPr>
                <w:sz w:val="4"/>
                <w:szCs w:val="4"/>
              </w:rPr>
            </w:pPr>
            <w:r>
              <w:rPr>
                <w:sz w:val="4"/>
                <w:szCs w:val="4"/>
              </w:rPr>
            </w:r>
          </w:p>
        </w:tc>
      </w:tr>
      <w:tr>
        <w:trPr/>
        <w:tc>
          <w:tcPr>
            <w:tcW w:w="252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Alfred F. Kelly, Jr.</w:t>
            </w:r>
          </w:p>
        </w:tc>
        <w:tc>
          <w:tcPr>
            <w:tcW w:w="122" w:type="dxa"/>
            <w:tcBorders/>
            <w:vAlign w:val="bottom"/>
          </w:tcPr>
          <w:p>
            <w:pPr>
              <w:pStyle w:val="TableContents"/>
              <w:bidi w:val="0"/>
              <w:spacing w:before="0" w:after="283"/>
              <w:jc w:val="left"/>
              <w:rPr/>
            </w:pPr>
            <w:r>
              <w:rPr/>
              <w:t>  </w:t>
            </w:r>
          </w:p>
        </w:tc>
        <w:tc>
          <w:tcPr>
            <w:tcW w:w="5744" w:type="dxa"/>
            <w:tcBorders/>
          </w:tcPr>
          <w:p>
            <w:pPr>
              <w:pStyle w:val="TableContents"/>
              <w:bidi w:val="0"/>
              <w:spacing w:before="0" w:after="283"/>
              <w:jc w:val="center"/>
              <w:rPr/>
            </w:pPr>
            <w:r>
              <w:rPr/>
              <w:t>Director</w:t>
            </w:r>
          </w:p>
        </w:tc>
        <w:tc>
          <w:tcPr>
            <w:tcW w:w="122" w:type="dxa"/>
            <w:tcBorders/>
            <w:vAlign w:val="bottom"/>
          </w:tcPr>
          <w:p>
            <w:pPr>
              <w:pStyle w:val="TableContents"/>
              <w:bidi w:val="0"/>
              <w:spacing w:before="0" w:after="283"/>
              <w:jc w:val="left"/>
              <w:rPr/>
            </w:pPr>
            <w:r>
              <w:rPr/>
              <w:t>  </w:t>
            </w:r>
          </w:p>
        </w:tc>
        <w:tc>
          <w:tcPr>
            <w:tcW w:w="1691" w:type="dxa"/>
            <w:tcBorders/>
          </w:tcPr>
          <w:p>
            <w:pPr>
              <w:pStyle w:val="TableContents"/>
              <w:bidi w:val="0"/>
              <w:spacing w:before="0" w:after="283"/>
              <w:jc w:val="center"/>
              <w:rPr/>
            </w:pPr>
            <w:r>
              <w:rPr/>
              <w:t>July 21, 2026</w:t>
            </w:r>
          </w:p>
        </w:tc>
      </w:tr>
      <w:tr>
        <w:trPr/>
        <w:tc>
          <w:tcPr>
            <w:tcW w:w="2526" w:type="dxa"/>
            <w:tcBorders/>
          </w:tcPr>
          <w:p>
            <w:pPr>
              <w:pStyle w:val="TableContents"/>
              <w:bidi w:val="0"/>
              <w:spacing w:before="0" w:after="283"/>
              <w:jc w:val="left"/>
              <w:rPr/>
            </w:pPr>
            <w:r>
              <w:rPr/>
              <w:t>Alfred F. Kelly, Jr.</w:t>
            </w:r>
          </w:p>
        </w:tc>
        <w:tc>
          <w:tcPr>
            <w:tcW w:w="122" w:type="dxa"/>
            <w:tcBorders/>
            <w:vAlign w:val="bottom"/>
          </w:tcPr>
          <w:p>
            <w:pPr>
              <w:pStyle w:val="TableContents"/>
              <w:bidi w:val="0"/>
              <w:spacing w:before="0" w:after="283"/>
              <w:jc w:val="left"/>
              <w:rPr/>
            </w:pPr>
            <w:r>
              <w:rPr/>
              <w:t>  </w:t>
            </w:r>
          </w:p>
        </w:tc>
        <w:tc>
          <w:tcPr>
            <w:tcW w:w="5744"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691" w:type="dxa"/>
            <w:tcBorders/>
          </w:tcPr>
          <w:p>
            <w:pPr>
              <w:pStyle w:val="TableContents"/>
              <w:bidi w:val="0"/>
              <w:spacing w:before="0" w:after="283"/>
              <w:jc w:val="left"/>
              <w:rPr>
                <w:sz w:val="4"/>
                <w:szCs w:val="4"/>
              </w:rPr>
            </w:pPr>
            <w:r>
              <w:rPr>
                <w:sz w:val="4"/>
                <w:szCs w:val="4"/>
              </w:rPr>
            </w:r>
          </w:p>
        </w:tc>
      </w:tr>
      <w:tr>
        <w:trPr>
          <w:trHeight w:val="240" w:hRule="atLeast"/>
        </w:trPr>
        <w:tc>
          <w:tcPr>
            <w:tcW w:w="2526" w:type="dxa"/>
            <w:tcBorders/>
            <w:vAlign w:val="center"/>
          </w:tcPr>
          <w:p>
            <w:pPr>
              <w:pStyle w:val="TableContents"/>
              <w:bidi w:val="0"/>
              <w:spacing w:before="0" w:after="283"/>
              <w:jc w:val="left"/>
              <w:rPr>
                <w:sz w:val="4"/>
                <w:szCs w:val="4"/>
              </w:rPr>
            </w:pPr>
            <w:r>
              <w:rPr>
                <w:sz w:val="4"/>
                <w:szCs w:val="4"/>
              </w:rPr>
            </w:r>
          </w:p>
        </w:tc>
        <w:tc>
          <w:tcPr>
            <w:tcW w:w="5866" w:type="dxa"/>
            <w:gridSpan w:val="2"/>
            <w:tcBorders/>
            <w:vAlign w:val="center"/>
          </w:tcPr>
          <w:p>
            <w:pPr>
              <w:pStyle w:val="TableContents"/>
              <w:bidi w:val="0"/>
              <w:spacing w:before="0" w:after="283"/>
              <w:jc w:val="left"/>
              <w:rPr>
                <w:sz w:val="4"/>
                <w:szCs w:val="4"/>
              </w:rPr>
            </w:pPr>
            <w:r>
              <w:rPr>
                <w:sz w:val="4"/>
                <w:szCs w:val="4"/>
              </w:rPr>
            </w:r>
          </w:p>
        </w:tc>
        <w:tc>
          <w:tcPr>
            <w:tcW w:w="1813" w:type="dxa"/>
            <w:gridSpan w:val="2"/>
            <w:tcBorders/>
            <w:vAlign w:val="center"/>
          </w:tcPr>
          <w:p>
            <w:pPr>
              <w:pStyle w:val="TableContents"/>
              <w:bidi w:val="0"/>
              <w:spacing w:before="0" w:after="283"/>
              <w:jc w:val="left"/>
              <w:rPr>
                <w:sz w:val="4"/>
                <w:szCs w:val="4"/>
              </w:rPr>
            </w:pPr>
            <w:r>
              <w:rPr>
                <w:sz w:val="4"/>
                <w:szCs w:val="4"/>
              </w:rPr>
            </w:r>
          </w:p>
        </w:tc>
      </w:tr>
      <w:tr>
        <w:trPr/>
        <w:tc>
          <w:tcPr>
            <w:tcW w:w="252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Judith A. Miscik</w:t>
            </w:r>
          </w:p>
        </w:tc>
        <w:tc>
          <w:tcPr>
            <w:tcW w:w="122" w:type="dxa"/>
            <w:tcBorders/>
            <w:vAlign w:val="bottom"/>
          </w:tcPr>
          <w:p>
            <w:pPr>
              <w:pStyle w:val="TableContents"/>
              <w:bidi w:val="0"/>
              <w:spacing w:before="0" w:after="283"/>
              <w:jc w:val="left"/>
              <w:rPr/>
            </w:pPr>
            <w:r>
              <w:rPr/>
              <w:t>  </w:t>
            </w:r>
          </w:p>
        </w:tc>
        <w:tc>
          <w:tcPr>
            <w:tcW w:w="5744" w:type="dxa"/>
            <w:tcBorders/>
          </w:tcPr>
          <w:p>
            <w:pPr>
              <w:pStyle w:val="TableContents"/>
              <w:bidi w:val="0"/>
              <w:spacing w:before="0" w:after="283"/>
              <w:jc w:val="center"/>
              <w:rPr/>
            </w:pPr>
            <w:r>
              <w:rPr/>
              <w:t>Director</w:t>
            </w:r>
          </w:p>
        </w:tc>
        <w:tc>
          <w:tcPr>
            <w:tcW w:w="122" w:type="dxa"/>
            <w:tcBorders/>
            <w:vAlign w:val="bottom"/>
          </w:tcPr>
          <w:p>
            <w:pPr>
              <w:pStyle w:val="TableContents"/>
              <w:bidi w:val="0"/>
              <w:spacing w:before="0" w:after="283"/>
              <w:jc w:val="left"/>
              <w:rPr/>
            </w:pPr>
            <w:r>
              <w:rPr/>
              <w:t>  </w:t>
            </w:r>
          </w:p>
        </w:tc>
        <w:tc>
          <w:tcPr>
            <w:tcW w:w="1691" w:type="dxa"/>
            <w:tcBorders/>
          </w:tcPr>
          <w:p>
            <w:pPr>
              <w:pStyle w:val="TableContents"/>
              <w:bidi w:val="0"/>
              <w:spacing w:before="0" w:after="283"/>
              <w:jc w:val="center"/>
              <w:rPr/>
            </w:pPr>
            <w:r>
              <w:rPr/>
              <w:t>July 21, 2026</w:t>
            </w:r>
          </w:p>
        </w:tc>
      </w:tr>
      <w:tr>
        <w:trPr/>
        <w:tc>
          <w:tcPr>
            <w:tcW w:w="2526" w:type="dxa"/>
            <w:tcBorders/>
          </w:tcPr>
          <w:p>
            <w:pPr>
              <w:pStyle w:val="TableContents"/>
              <w:bidi w:val="0"/>
              <w:spacing w:before="0" w:after="283"/>
              <w:jc w:val="left"/>
              <w:rPr/>
            </w:pPr>
            <w:r>
              <w:rPr/>
              <w:t>Judith A. Miscik</w:t>
            </w:r>
          </w:p>
        </w:tc>
        <w:tc>
          <w:tcPr>
            <w:tcW w:w="122" w:type="dxa"/>
            <w:tcBorders/>
            <w:vAlign w:val="bottom"/>
          </w:tcPr>
          <w:p>
            <w:pPr>
              <w:pStyle w:val="TableContents"/>
              <w:bidi w:val="0"/>
              <w:spacing w:before="0" w:after="283"/>
              <w:jc w:val="left"/>
              <w:rPr/>
            </w:pPr>
            <w:r>
              <w:rPr/>
              <w:t>  </w:t>
            </w:r>
          </w:p>
        </w:tc>
        <w:tc>
          <w:tcPr>
            <w:tcW w:w="5744"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691" w:type="dxa"/>
            <w:tcBorders/>
          </w:tcPr>
          <w:p>
            <w:pPr>
              <w:pStyle w:val="TableContents"/>
              <w:bidi w:val="0"/>
              <w:spacing w:before="0" w:after="283"/>
              <w:jc w:val="left"/>
              <w:rPr>
                <w:sz w:val="4"/>
                <w:szCs w:val="4"/>
              </w:rPr>
            </w:pPr>
            <w:r>
              <w:rPr>
                <w:sz w:val="4"/>
                <w:szCs w:val="4"/>
              </w:rPr>
            </w:r>
          </w:p>
        </w:tc>
      </w:tr>
      <w:tr>
        <w:trPr>
          <w:trHeight w:val="240" w:hRule="atLeast"/>
        </w:trPr>
        <w:tc>
          <w:tcPr>
            <w:tcW w:w="2526" w:type="dxa"/>
            <w:tcBorders/>
            <w:vAlign w:val="center"/>
          </w:tcPr>
          <w:p>
            <w:pPr>
              <w:pStyle w:val="TableContents"/>
              <w:bidi w:val="0"/>
              <w:spacing w:before="0" w:after="283"/>
              <w:jc w:val="left"/>
              <w:rPr>
                <w:sz w:val="4"/>
                <w:szCs w:val="4"/>
              </w:rPr>
            </w:pPr>
            <w:r>
              <w:rPr>
                <w:sz w:val="4"/>
                <w:szCs w:val="4"/>
              </w:rPr>
            </w:r>
          </w:p>
        </w:tc>
        <w:tc>
          <w:tcPr>
            <w:tcW w:w="5866" w:type="dxa"/>
            <w:gridSpan w:val="2"/>
            <w:tcBorders/>
            <w:vAlign w:val="center"/>
          </w:tcPr>
          <w:p>
            <w:pPr>
              <w:pStyle w:val="TableContents"/>
              <w:bidi w:val="0"/>
              <w:spacing w:before="0" w:after="283"/>
              <w:jc w:val="left"/>
              <w:rPr>
                <w:sz w:val="4"/>
                <w:szCs w:val="4"/>
              </w:rPr>
            </w:pPr>
            <w:r>
              <w:rPr>
                <w:sz w:val="4"/>
                <w:szCs w:val="4"/>
              </w:rPr>
            </w:r>
          </w:p>
        </w:tc>
        <w:tc>
          <w:tcPr>
            <w:tcW w:w="1813" w:type="dxa"/>
            <w:gridSpan w:val="2"/>
            <w:tcBorders/>
            <w:vAlign w:val="center"/>
          </w:tcPr>
          <w:p>
            <w:pPr>
              <w:pStyle w:val="TableContents"/>
              <w:bidi w:val="0"/>
              <w:spacing w:before="0" w:after="283"/>
              <w:jc w:val="left"/>
              <w:rPr>
                <w:sz w:val="4"/>
                <w:szCs w:val="4"/>
              </w:rPr>
            </w:pPr>
            <w:r>
              <w:rPr>
                <w:sz w:val="4"/>
                <w:szCs w:val="4"/>
              </w:rPr>
            </w:r>
          </w:p>
        </w:tc>
      </w:tr>
      <w:tr>
        <w:trPr/>
        <w:tc>
          <w:tcPr>
            <w:tcW w:w="252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Mark A. Tatum</w:t>
            </w:r>
          </w:p>
        </w:tc>
        <w:tc>
          <w:tcPr>
            <w:tcW w:w="122" w:type="dxa"/>
            <w:tcBorders/>
            <w:vAlign w:val="bottom"/>
          </w:tcPr>
          <w:p>
            <w:pPr>
              <w:pStyle w:val="TableContents"/>
              <w:bidi w:val="0"/>
              <w:spacing w:before="0" w:after="283"/>
              <w:jc w:val="left"/>
              <w:rPr/>
            </w:pPr>
            <w:r>
              <w:rPr/>
              <w:t>  </w:t>
            </w:r>
          </w:p>
        </w:tc>
        <w:tc>
          <w:tcPr>
            <w:tcW w:w="5744" w:type="dxa"/>
            <w:tcBorders/>
          </w:tcPr>
          <w:p>
            <w:pPr>
              <w:pStyle w:val="TableContents"/>
              <w:bidi w:val="0"/>
              <w:spacing w:before="0" w:after="283"/>
              <w:jc w:val="center"/>
              <w:rPr/>
            </w:pPr>
            <w:r>
              <w:rPr/>
              <w:t>Director</w:t>
            </w:r>
          </w:p>
        </w:tc>
        <w:tc>
          <w:tcPr>
            <w:tcW w:w="122" w:type="dxa"/>
            <w:tcBorders/>
            <w:vAlign w:val="bottom"/>
          </w:tcPr>
          <w:p>
            <w:pPr>
              <w:pStyle w:val="TableContents"/>
              <w:bidi w:val="0"/>
              <w:spacing w:before="0" w:after="283"/>
              <w:jc w:val="left"/>
              <w:rPr/>
            </w:pPr>
            <w:r>
              <w:rPr/>
              <w:t>  </w:t>
            </w:r>
          </w:p>
        </w:tc>
        <w:tc>
          <w:tcPr>
            <w:tcW w:w="1691" w:type="dxa"/>
            <w:tcBorders/>
          </w:tcPr>
          <w:p>
            <w:pPr>
              <w:pStyle w:val="TableContents"/>
              <w:bidi w:val="0"/>
              <w:spacing w:before="0" w:after="283"/>
              <w:jc w:val="center"/>
              <w:rPr/>
            </w:pPr>
            <w:r>
              <w:rPr/>
              <w:t>July 21, 2026</w:t>
            </w:r>
          </w:p>
        </w:tc>
      </w:tr>
      <w:tr>
        <w:trPr/>
        <w:tc>
          <w:tcPr>
            <w:tcW w:w="2526" w:type="dxa"/>
            <w:tcBorders/>
          </w:tcPr>
          <w:p>
            <w:pPr>
              <w:pStyle w:val="TableContents"/>
              <w:bidi w:val="0"/>
              <w:spacing w:before="0" w:after="283"/>
              <w:jc w:val="left"/>
              <w:rPr/>
            </w:pPr>
            <w:r>
              <w:rPr/>
              <w:t>Mark A. Tatum</w:t>
            </w:r>
          </w:p>
        </w:tc>
        <w:tc>
          <w:tcPr>
            <w:tcW w:w="122" w:type="dxa"/>
            <w:tcBorders/>
            <w:vAlign w:val="bottom"/>
          </w:tcPr>
          <w:p>
            <w:pPr>
              <w:pStyle w:val="TableContents"/>
              <w:bidi w:val="0"/>
              <w:spacing w:before="0" w:after="283"/>
              <w:jc w:val="left"/>
              <w:rPr/>
            </w:pPr>
            <w:r>
              <w:rPr/>
              <w:t>  </w:t>
            </w:r>
          </w:p>
        </w:tc>
        <w:tc>
          <w:tcPr>
            <w:tcW w:w="5744"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691" w:type="dxa"/>
            <w:tcBorders/>
          </w:tcPr>
          <w:p>
            <w:pPr>
              <w:pStyle w:val="TableContents"/>
              <w:bidi w:val="0"/>
              <w:spacing w:before="0" w:after="283"/>
              <w:jc w:val="left"/>
              <w:rPr>
                <w:sz w:val="4"/>
                <w:szCs w:val="4"/>
              </w:rPr>
            </w:pPr>
            <w:r>
              <w:rPr>
                <w:sz w:val="4"/>
                <w:szCs w:val="4"/>
              </w:rPr>
            </w:r>
          </w:p>
        </w:tc>
      </w:tr>
      <w:tr>
        <w:trPr>
          <w:trHeight w:val="240" w:hRule="atLeast"/>
        </w:trPr>
        <w:tc>
          <w:tcPr>
            <w:tcW w:w="2526" w:type="dxa"/>
            <w:tcBorders/>
            <w:vAlign w:val="center"/>
          </w:tcPr>
          <w:p>
            <w:pPr>
              <w:pStyle w:val="TableContents"/>
              <w:bidi w:val="0"/>
              <w:spacing w:before="0" w:after="283"/>
              <w:jc w:val="left"/>
              <w:rPr>
                <w:sz w:val="4"/>
                <w:szCs w:val="4"/>
              </w:rPr>
            </w:pPr>
            <w:r>
              <w:rPr>
                <w:sz w:val="4"/>
                <w:szCs w:val="4"/>
              </w:rPr>
            </w:r>
          </w:p>
        </w:tc>
        <w:tc>
          <w:tcPr>
            <w:tcW w:w="5866" w:type="dxa"/>
            <w:gridSpan w:val="2"/>
            <w:tcBorders/>
            <w:vAlign w:val="center"/>
          </w:tcPr>
          <w:p>
            <w:pPr>
              <w:pStyle w:val="TableContents"/>
              <w:bidi w:val="0"/>
              <w:spacing w:before="0" w:after="283"/>
              <w:jc w:val="left"/>
              <w:rPr>
                <w:sz w:val="4"/>
                <w:szCs w:val="4"/>
              </w:rPr>
            </w:pPr>
            <w:r>
              <w:rPr>
                <w:sz w:val="4"/>
                <w:szCs w:val="4"/>
              </w:rPr>
            </w:r>
          </w:p>
        </w:tc>
        <w:tc>
          <w:tcPr>
            <w:tcW w:w="1813" w:type="dxa"/>
            <w:gridSpan w:val="2"/>
            <w:tcBorders/>
            <w:vAlign w:val="center"/>
          </w:tcPr>
          <w:p>
            <w:pPr>
              <w:pStyle w:val="TableContents"/>
              <w:bidi w:val="0"/>
              <w:spacing w:before="0" w:after="283"/>
              <w:jc w:val="left"/>
              <w:rPr>
                <w:sz w:val="4"/>
                <w:szCs w:val="4"/>
              </w:rPr>
            </w:pPr>
            <w:r>
              <w:rPr>
                <w:sz w:val="4"/>
                <w:szCs w:val="4"/>
              </w:rPr>
            </w:r>
          </w:p>
        </w:tc>
      </w:tr>
      <w:tr>
        <w:trPr/>
        <w:tc>
          <w:tcPr>
            <w:tcW w:w="252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Jan E. Tighe</w:t>
            </w:r>
          </w:p>
        </w:tc>
        <w:tc>
          <w:tcPr>
            <w:tcW w:w="122" w:type="dxa"/>
            <w:tcBorders/>
            <w:vAlign w:val="bottom"/>
          </w:tcPr>
          <w:p>
            <w:pPr>
              <w:pStyle w:val="TableContents"/>
              <w:bidi w:val="0"/>
              <w:spacing w:before="0" w:after="283"/>
              <w:jc w:val="left"/>
              <w:rPr/>
            </w:pPr>
            <w:r>
              <w:rPr/>
              <w:t>  </w:t>
            </w:r>
          </w:p>
        </w:tc>
        <w:tc>
          <w:tcPr>
            <w:tcW w:w="5744" w:type="dxa"/>
            <w:tcBorders/>
          </w:tcPr>
          <w:p>
            <w:pPr>
              <w:pStyle w:val="TableContents"/>
              <w:bidi w:val="0"/>
              <w:spacing w:before="0" w:after="283"/>
              <w:jc w:val="center"/>
              <w:rPr/>
            </w:pPr>
            <w:r>
              <w:rPr/>
              <w:t>Director</w:t>
            </w:r>
          </w:p>
        </w:tc>
        <w:tc>
          <w:tcPr>
            <w:tcW w:w="122" w:type="dxa"/>
            <w:tcBorders/>
            <w:vAlign w:val="bottom"/>
          </w:tcPr>
          <w:p>
            <w:pPr>
              <w:pStyle w:val="TableContents"/>
              <w:bidi w:val="0"/>
              <w:spacing w:before="0" w:after="283"/>
              <w:jc w:val="left"/>
              <w:rPr/>
            </w:pPr>
            <w:r>
              <w:rPr/>
              <w:t>  </w:t>
            </w:r>
          </w:p>
        </w:tc>
        <w:tc>
          <w:tcPr>
            <w:tcW w:w="1691" w:type="dxa"/>
            <w:tcBorders/>
          </w:tcPr>
          <w:p>
            <w:pPr>
              <w:pStyle w:val="TableContents"/>
              <w:bidi w:val="0"/>
              <w:spacing w:before="0" w:after="283"/>
              <w:jc w:val="center"/>
              <w:rPr/>
            </w:pPr>
            <w:r>
              <w:rPr/>
              <w:t>July 21, 2026</w:t>
            </w:r>
          </w:p>
        </w:tc>
      </w:tr>
      <w:tr>
        <w:trPr/>
        <w:tc>
          <w:tcPr>
            <w:tcW w:w="2526" w:type="dxa"/>
            <w:tcBorders/>
          </w:tcPr>
          <w:p>
            <w:pPr>
              <w:pStyle w:val="TableContents"/>
              <w:bidi w:val="0"/>
              <w:spacing w:before="0" w:after="283"/>
              <w:jc w:val="left"/>
              <w:rPr/>
            </w:pPr>
            <w:r>
              <w:rPr/>
              <w:t>Jan E. Tighe</w:t>
            </w:r>
          </w:p>
        </w:tc>
        <w:tc>
          <w:tcPr>
            <w:tcW w:w="122" w:type="dxa"/>
            <w:tcBorders/>
            <w:vAlign w:val="bottom"/>
          </w:tcPr>
          <w:p>
            <w:pPr>
              <w:pStyle w:val="TableContents"/>
              <w:bidi w:val="0"/>
              <w:spacing w:before="0" w:after="283"/>
              <w:jc w:val="left"/>
              <w:rPr/>
            </w:pPr>
            <w:r>
              <w:rPr/>
              <w:t>  </w:t>
            </w:r>
          </w:p>
        </w:tc>
        <w:tc>
          <w:tcPr>
            <w:tcW w:w="5744"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691" w:type="dxa"/>
            <w:tcBorders/>
          </w:tcPr>
          <w:p>
            <w:pPr>
              <w:pStyle w:val="TableContents"/>
              <w:bidi w:val="0"/>
              <w:spacing w:before="0" w:after="283"/>
              <w:jc w:val="left"/>
              <w:rPr>
                <w:sz w:val="4"/>
                <w:szCs w:val="4"/>
              </w:rPr>
            </w:pPr>
            <w:r>
              <w:rPr>
                <w:sz w:val="4"/>
                <w:szCs w:val="4"/>
              </w:rPr>
            </w:r>
          </w:p>
        </w:tc>
      </w:tr>
      <w:tr>
        <w:trPr>
          <w:trHeight w:val="240" w:hRule="atLeast"/>
        </w:trPr>
        <w:tc>
          <w:tcPr>
            <w:tcW w:w="2526" w:type="dxa"/>
            <w:tcBorders/>
            <w:vAlign w:val="center"/>
          </w:tcPr>
          <w:p>
            <w:pPr>
              <w:pStyle w:val="TableContents"/>
              <w:bidi w:val="0"/>
              <w:spacing w:before="0" w:after="283"/>
              <w:jc w:val="left"/>
              <w:rPr>
                <w:sz w:val="4"/>
                <w:szCs w:val="4"/>
              </w:rPr>
            </w:pPr>
            <w:r>
              <w:rPr>
                <w:sz w:val="4"/>
                <w:szCs w:val="4"/>
              </w:rPr>
            </w:r>
          </w:p>
        </w:tc>
        <w:tc>
          <w:tcPr>
            <w:tcW w:w="5866" w:type="dxa"/>
            <w:gridSpan w:val="2"/>
            <w:tcBorders/>
            <w:vAlign w:val="center"/>
          </w:tcPr>
          <w:p>
            <w:pPr>
              <w:pStyle w:val="TableContents"/>
              <w:bidi w:val="0"/>
              <w:spacing w:before="0" w:after="283"/>
              <w:jc w:val="left"/>
              <w:rPr>
                <w:sz w:val="4"/>
                <w:szCs w:val="4"/>
              </w:rPr>
            </w:pPr>
            <w:r>
              <w:rPr>
                <w:sz w:val="4"/>
                <w:szCs w:val="4"/>
              </w:rPr>
            </w:r>
          </w:p>
        </w:tc>
        <w:tc>
          <w:tcPr>
            <w:tcW w:w="1813" w:type="dxa"/>
            <w:gridSpan w:val="2"/>
            <w:tcBorders/>
            <w:vAlign w:val="center"/>
          </w:tcPr>
          <w:p>
            <w:pPr>
              <w:pStyle w:val="TableContents"/>
              <w:bidi w:val="0"/>
              <w:spacing w:before="0" w:after="283"/>
              <w:jc w:val="left"/>
              <w:rPr>
                <w:sz w:val="4"/>
                <w:szCs w:val="4"/>
              </w:rPr>
            </w:pPr>
            <w:r>
              <w:rPr>
                <w:sz w:val="4"/>
                <w:szCs w:val="4"/>
              </w:rPr>
            </w:r>
          </w:p>
        </w:tc>
      </w:tr>
      <w:tr>
        <w:trPr/>
        <w:tc>
          <w:tcPr>
            <w:tcW w:w="252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Devin N. Wenig</w:t>
            </w:r>
          </w:p>
        </w:tc>
        <w:tc>
          <w:tcPr>
            <w:tcW w:w="122" w:type="dxa"/>
            <w:tcBorders/>
            <w:vAlign w:val="bottom"/>
          </w:tcPr>
          <w:p>
            <w:pPr>
              <w:pStyle w:val="TableContents"/>
              <w:bidi w:val="0"/>
              <w:spacing w:before="0" w:after="283"/>
              <w:jc w:val="left"/>
              <w:rPr/>
            </w:pPr>
            <w:r>
              <w:rPr/>
              <w:t>  </w:t>
            </w:r>
          </w:p>
        </w:tc>
        <w:tc>
          <w:tcPr>
            <w:tcW w:w="5744" w:type="dxa"/>
            <w:tcBorders/>
          </w:tcPr>
          <w:p>
            <w:pPr>
              <w:pStyle w:val="TableContents"/>
              <w:bidi w:val="0"/>
              <w:spacing w:before="0" w:after="283"/>
              <w:jc w:val="center"/>
              <w:rPr/>
            </w:pPr>
            <w:r>
              <w:rPr/>
              <w:t>Director</w:t>
            </w:r>
          </w:p>
        </w:tc>
        <w:tc>
          <w:tcPr>
            <w:tcW w:w="122" w:type="dxa"/>
            <w:tcBorders/>
            <w:vAlign w:val="bottom"/>
          </w:tcPr>
          <w:p>
            <w:pPr>
              <w:pStyle w:val="TableContents"/>
              <w:bidi w:val="0"/>
              <w:spacing w:before="0" w:after="283"/>
              <w:jc w:val="left"/>
              <w:rPr/>
            </w:pPr>
            <w:r>
              <w:rPr/>
              <w:t>  </w:t>
            </w:r>
          </w:p>
        </w:tc>
        <w:tc>
          <w:tcPr>
            <w:tcW w:w="1691" w:type="dxa"/>
            <w:tcBorders/>
          </w:tcPr>
          <w:p>
            <w:pPr>
              <w:pStyle w:val="TableContents"/>
              <w:bidi w:val="0"/>
              <w:spacing w:before="0" w:after="283"/>
              <w:jc w:val="center"/>
              <w:rPr/>
            </w:pPr>
            <w:r>
              <w:rPr/>
              <w:t>July 21, 2026</w:t>
            </w:r>
          </w:p>
        </w:tc>
      </w:tr>
      <w:tr>
        <w:trPr/>
        <w:tc>
          <w:tcPr>
            <w:tcW w:w="2526" w:type="dxa"/>
            <w:tcBorders/>
          </w:tcPr>
          <w:p>
            <w:pPr>
              <w:pStyle w:val="TableContents"/>
              <w:bidi w:val="0"/>
              <w:spacing w:before="0" w:after="283"/>
              <w:jc w:val="left"/>
              <w:rPr/>
            </w:pPr>
            <w:r>
              <w:rPr/>
              <w:t>Devin N. Wenig</w:t>
            </w:r>
          </w:p>
        </w:tc>
        <w:tc>
          <w:tcPr>
            <w:tcW w:w="122" w:type="dxa"/>
            <w:tcBorders/>
            <w:vAlign w:val="bottom"/>
          </w:tcPr>
          <w:p>
            <w:pPr>
              <w:pStyle w:val="TableContents"/>
              <w:bidi w:val="0"/>
              <w:spacing w:before="0" w:after="283"/>
              <w:jc w:val="left"/>
              <w:rPr/>
            </w:pPr>
            <w:r>
              <w:rPr/>
              <w:t>  </w:t>
            </w:r>
          </w:p>
        </w:tc>
        <w:tc>
          <w:tcPr>
            <w:tcW w:w="5744"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691"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right"/>
        <w:rPr>
          <w:rFonts w:ascii="Times New Roman" w:hAnsi="Times New Roman"/>
          <w:b/>
          <w:sz w:val="20"/>
        </w:rPr>
      </w:pPr>
      <w:bookmarkStart w:id="3" w:name="d142844dex51.htm"/>
      <w:bookmarkStart w:id="4" w:name="ksd142844dex51"/>
      <w:bookmarkEnd w:id="3"/>
      <w:bookmarkEnd w:id="4"/>
      <w:r>
        <w:rPr>
          <w:rFonts w:ascii="Times New Roman" w:hAnsi="Times New Roman"/>
          <w:b/>
          <w:sz w:val="20"/>
        </w:rPr>
        <w:t>Exhibit 5.1</w:t>
      </w:r>
      <w:r>
        <w:br w:type="page"/>
      </w:r>
    </w:p>
    <w:p>
      <w:pPr>
        <w:pStyle w:val="TextBody"/>
        <w:bidi w:val="0"/>
        <w:spacing w:before="240" w:after="0"/>
        <w:jc w:val="right"/>
        <w:rPr>
          <w:rFonts w:ascii="Times New Roman" w:hAnsi="Times New Roman"/>
          <w:sz w:val="20"/>
        </w:rPr>
      </w:pPr>
      <w:r>
        <w:rPr>
          <w:rFonts w:ascii="Times New Roman" w:hAnsi="Times New Roman"/>
          <w:sz w:val="20"/>
        </w:rPr>
        <w:t>John S. Kim</w:t>
      </w:r>
    </w:p>
    <w:p>
      <w:pPr>
        <w:pStyle w:val="TextBody"/>
        <w:bidi w:val="0"/>
        <w:spacing w:before="0" w:after="0"/>
        <w:jc w:val="right"/>
        <w:rPr>
          <w:rFonts w:ascii="Times New Roman" w:hAnsi="Times New Roman"/>
          <w:sz w:val="20"/>
        </w:rPr>
      </w:pPr>
      <w:r>
        <w:rPr>
          <w:rFonts w:ascii="Times New Roman" w:hAnsi="Times New Roman"/>
          <w:sz w:val="20"/>
        </w:rPr>
        <w:t xml:space="preserve">Assistant Corporate Secretary and </w:t>
      </w:r>
    </w:p>
    <w:p>
      <w:pPr>
        <w:pStyle w:val="TextBody"/>
        <w:bidi w:val="0"/>
        <w:spacing w:before="0" w:after="0"/>
        <w:jc w:val="right"/>
        <w:rPr>
          <w:rFonts w:ascii="Times New Roman" w:hAnsi="Times New Roman"/>
          <w:sz w:val="20"/>
        </w:rPr>
      </w:pPr>
      <w:r>
        <w:rPr>
          <w:rFonts w:ascii="Times New Roman" w:hAnsi="Times New Roman"/>
          <w:sz w:val="20"/>
        </w:rPr>
        <w:t xml:space="preserve">Assistant General Counsel </w:t>
      </w:r>
    </w:p>
    <w:p>
      <w:pPr>
        <w:pStyle w:val="TextBody"/>
        <w:bidi w:val="0"/>
        <w:spacing w:before="240" w:after="0"/>
        <w:jc w:val="left"/>
        <w:rPr>
          <w:rFonts w:ascii="Times New Roman" w:hAnsi="Times New Roman"/>
          <w:sz w:val="20"/>
        </w:rPr>
      </w:pPr>
      <w:r>
        <w:rPr>
          <w:rFonts w:ascii="Times New Roman" w:hAnsi="Times New Roman"/>
          <w:sz w:val="20"/>
        </w:rPr>
        <w:t>July 21, 2026</w:t>
      </w:r>
    </w:p>
    <w:p>
      <w:pPr>
        <w:pStyle w:val="TextBody"/>
        <w:bidi w:val="0"/>
        <w:spacing w:before="240" w:after="0"/>
        <w:jc w:val="left"/>
        <w:rPr>
          <w:rFonts w:ascii="Times New Roman" w:hAnsi="Times New Roman"/>
          <w:sz w:val="20"/>
        </w:rPr>
      </w:pPr>
      <w:r>
        <w:rPr>
          <w:rFonts w:ascii="Times New Roman" w:hAnsi="Times New Roman"/>
          <w:sz w:val="20"/>
        </w:rPr>
        <w:t>General Motors Company</w:t>
      </w:r>
    </w:p>
    <w:p>
      <w:pPr>
        <w:pStyle w:val="TextBody"/>
        <w:bidi w:val="0"/>
        <w:spacing w:before="0" w:after="0"/>
        <w:jc w:val="left"/>
        <w:rPr>
          <w:rFonts w:ascii="Times New Roman" w:hAnsi="Times New Roman"/>
          <w:sz w:val="20"/>
        </w:rPr>
      </w:pPr>
      <w:r>
        <w:rPr>
          <w:rFonts w:ascii="Times New Roman" w:hAnsi="Times New Roman"/>
          <w:sz w:val="20"/>
        </w:rPr>
        <w:t>1240 Woodward Avenue</w:t>
      </w:r>
    </w:p>
    <w:p>
      <w:pPr>
        <w:pStyle w:val="TextBody"/>
        <w:bidi w:val="0"/>
        <w:spacing w:before="0" w:after="0"/>
        <w:jc w:val="left"/>
        <w:rPr>
          <w:rFonts w:ascii="Times New Roman" w:hAnsi="Times New Roman"/>
          <w:sz w:val="20"/>
        </w:rPr>
      </w:pPr>
      <w:r>
        <w:rPr>
          <w:rFonts w:ascii="Times New Roman" w:hAnsi="Times New Roman"/>
          <w:sz w:val="20"/>
        </w:rPr>
        <w:t xml:space="preserve">Detroit, Michigan 48265 </w:t>
      </w:r>
    </w:p>
    <w:p>
      <w:pPr>
        <w:pStyle w:val="TextBody"/>
        <w:bidi w:val="0"/>
        <w:spacing w:before="240" w:after="0"/>
        <w:jc w:val="left"/>
        <w:rPr>
          <w:rFonts w:ascii="Times New Roman" w:hAnsi="Times New Roman"/>
          <w:sz w:val="20"/>
        </w:rPr>
      </w:pPr>
      <w:r>
        <w:rPr>
          <w:rFonts w:ascii="Times New Roman" w:hAnsi="Times New Roman"/>
          <w:sz w:val="20"/>
        </w:rPr>
        <w:t xml:space="preserve">RE: Registration Statement on Form S-8 </w:t>
      </w:r>
    </w:p>
    <w:p>
      <w:pPr>
        <w:pStyle w:val="TextBody"/>
        <w:bidi w:val="0"/>
        <w:spacing w:before="240" w:after="0"/>
        <w:jc w:val="left"/>
        <w:rPr>
          <w:rFonts w:ascii="Times New Roman" w:hAnsi="Times New Roman"/>
          <w:sz w:val="20"/>
        </w:rPr>
      </w:pPr>
      <w:r>
        <w:rPr>
          <w:rFonts w:ascii="Times New Roman" w:hAnsi="Times New Roman"/>
          <w:sz w:val="20"/>
        </w:rPr>
        <w:t>Ladies and Gentlemen:</w:t>
      </w:r>
    </w:p>
    <w:p>
      <w:pPr>
        <w:pStyle w:val="TextBody"/>
        <w:bidi w:val="0"/>
        <w:spacing w:before="120" w:after="0"/>
        <w:jc w:val="left"/>
        <w:rPr>
          <w:rFonts w:ascii="Times New Roman" w:hAnsi="Times New Roman"/>
          <w:sz w:val="20"/>
        </w:rPr>
      </w:pPr>
      <w:r>
        <w:rPr>
          <w:rFonts w:ascii="Times New Roman" w:hAnsi="Times New Roman"/>
          <w:sz w:val="20"/>
        </w:rPr>
        <w:t>General Motors Company (the “Company”) has filed a Registration Statement on Form S-8 (the “Registration Statement”) with the Securities and Exchange Commission pursuant to the Securities Act of 1933, as amended, with respect to 27,000,000 shares (the “Shares”) of common stock, par value $0.01 per share, of the Company (the “Common Stock”) relating to the General Motors Company 2020 Long-Term Incentive Plan, as amended (the “Plan”).</w:t>
      </w:r>
    </w:p>
    <w:p>
      <w:pPr>
        <w:pStyle w:val="TextBody"/>
        <w:bidi w:val="0"/>
        <w:spacing w:before="240" w:after="0"/>
        <w:jc w:val="left"/>
        <w:rPr>
          <w:rFonts w:ascii="Times New Roman" w:hAnsi="Times New Roman"/>
          <w:sz w:val="20"/>
        </w:rPr>
      </w:pPr>
      <w:r>
        <w:rPr>
          <w:rFonts w:ascii="Times New Roman" w:hAnsi="Times New Roman"/>
          <w:sz w:val="20"/>
        </w:rPr>
        <w:t>As Assistant Corporate Secretary and Assistant General Counsel, I am familiar with the certificate of incorporation and the bylaws of the Company, each as currently in effect, and with the Company’s affairs, including the actions taken by the Company in connection with the preparation of the Registration Statement. I, or attorneys under my supervision, also examined such other documents and instruments and have made such further investigation as I have deemed necessary or appropriate in connection with this opinion. In connection with such examination, I have assumed the genuineness of all signatures appearing on all documents, the legal capacity of all persons signing such documents, the authenticity of all documents submitted to me as originals, the conformity to original documents of all documents submitted to me as certified, conformed or photostatic copies, the accuracy and completeness of all corporate records made available to me by the Company, and the truth and accuracy of all facts set forth in all certificates provided to or examined by me.</w:t>
      </w:r>
    </w:p>
    <w:p>
      <w:pPr>
        <w:pStyle w:val="TextBody"/>
        <w:bidi w:val="0"/>
        <w:spacing w:before="240" w:after="0"/>
        <w:jc w:val="left"/>
        <w:rPr>
          <w:rFonts w:ascii="Times New Roman" w:hAnsi="Times New Roman"/>
          <w:sz w:val="20"/>
        </w:rPr>
      </w:pPr>
      <w:r>
        <w:rPr>
          <w:rFonts w:ascii="Times New Roman" w:hAnsi="Times New Roman"/>
          <w:sz w:val="20"/>
        </w:rPr>
        <w:t xml:space="preserve">Based upon the foregoing, it is my opinion that the Shares to be registered, when issued and delivered pursuant to the Company’s Amended and Restated Certificate of Incorporation and the Plan, and when the Registration Statement shall have become effective, will be legally issued and will be fully paid and non-assessable. </w:t>
      </w:r>
    </w:p>
    <w:p>
      <w:pPr>
        <w:pStyle w:val="TextBody"/>
        <w:bidi w:val="0"/>
        <w:spacing w:before="240" w:after="0"/>
        <w:jc w:val="left"/>
        <w:rPr>
          <w:rFonts w:ascii="Times New Roman" w:hAnsi="Times New Roman"/>
          <w:sz w:val="20"/>
        </w:rPr>
      </w:pPr>
      <w:r>
        <w:rPr>
          <w:rFonts w:ascii="Times New Roman" w:hAnsi="Times New Roman"/>
          <w:sz w:val="20"/>
        </w:rPr>
        <w:t>My opinion expressed above is based exclusively on the General Corporation Law of the State of Delaware (including the statutory provisions thereof, all applicable provisions of the Delaware Constitution and reported judicial decisions interpreting the foregoing).</w:t>
      </w:r>
    </w:p>
    <w:p>
      <w:pPr>
        <w:pStyle w:val="TextBody"/>
        <w:bidi w:val="0"/>
        <w:spacing w:before="240" w:after="0"/>
        <w:jc w:val="left"/>
        <w:rPr>
          <w:rFonts w:ascii="Times New Roman" w:hAnsi="Times New Roman"/>
          <w:sz w:val="20"/>
        </w:rPr>
      </w:pPr>
      <w:r>
        <w:rPr>
          <w:rFonts w:ascii="Times New Roman" w:hAnsi="Times New Roman"/>
          <w:sz w:val="20"/>
        </w:rPr>
        <w:t>I hereby consent to the use of this opinion as Exhibit 5.1 to the Registration Statement.</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John S. Kim</w:t>
            </w:r>
          </w:p>
        </w:tc>
      </w:tr>
      <w:tr>
        <w:trPr/>
        <w:tc>
          <w:tcPr>
            <w:tcW w:w="4082" w:type="dxa"/>
            <w:tcBorders/>
          </w:tcPr>
          <w:p>
            <w:pPr>
              <w:pStyle w:val="TableContents"/>
              <w:bidi w:val="0"/>
              <w:spacing w:before="0" w:after="283"/>
              <w:jc w:val="left"/>
              <w:rPr/>
            </w:pPr>
            <w:r>
              <w:rPr/>
              <w:t>John S. Kim</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Assistant Corporate Secretary and</w:t>
            </w:r>
          </w:p>
          <w:p>
            <w:pPr>
              <w:pStyle w:val="TableContents"/>
              <w:bidi w:val="0"/>
              <w:spacing w:before="0" w:after="20"/>
              <w:jc w:val="left"/>
              <w:rPr>
                <w:rFonts w:ascii="Times New Roman" w:hAnsi="Times New Roman"/>
                <w:sz w:val="20"/>
              </w:rPr>
            </w:pPr>
            <w:r>
              <w:rPr>
                <w:rFonts w:ascii="Times New Roman" w:hAnsi="Times New Roman"/>
                <w:sz w:val="20"/>
              </w:rPr>
              <w:t>Assistant General Counsel</w:t>
            </w:r>
          </w:p>
        </w:tc>
      </w:tr>
    </w:tbl>
    <w:p>
      <w:pPr>
        <w:pStyle w:val="TextBody"/>
        <w:bidi w:val="0"/>
        <w:spacing w:before="0" w:after="0"/>
        <w:jc w:val="right"/>
        <w:rPr>
          <w:rFonts w:ascii="Times New Roman" w:hAnsi="Times New Roman"/>
          <w:b/>
          <w:sz w:val="20"/>
        </w:rPr>
      </w:pPr>
      <w:bookmarkStart w:id="5" w:name="d142844dex231.htm"/>
      <w:bookmarkStart w:id="6" w:name="ksd142844dex231"/>
      <w:bookmarkEnd w:id="5"/>
      <w:bookmarkEnd w:id="6"/>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incorporation by reference in the Registration Statement (Form S-8) pertaining to the General Motors Company 2020 Long-Term Incentive Plan of our reports dated January 27, 2026, with respect to the consolidated financial statements of General Motors Company and subsidiaries and the effectiveness of internal control over financial reporting of General Motors Company and subsidiaries included in its Annual Report (Form 10-K) for the year ended December 31, 2025, filed with the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 xml:space="preserve">/s/ Ernst &amp; Young LLP </w:t>
      </w:r>
    </w:p>
    <w:p>
      <w:pPr>
        <w:pStyle w:val="TextBody"/>
        <w:bidi w:val="0"/>
        <w:spacing w:before="240" w:after="0"/>
        <w:jc w:val="left"/>
        <w:rPr>
          <w:rFonts w:ascii="Times New Roman" w:hAnsi="Times New Roman"/>
          <w:sz w:val="20"/>
        </w:rPr>
      </w:pPr>
      <w:r>
        <w:rPr>
          <w:rFonts w:ascii="Times New Roman" w:hAnsi="Times New Roman"/>
          <w:sz w:val="20"/>
        </w:rPr>
        <w:t xml:space="preserve">Detroit, Michigan </w:t>
      </w:r>
    </w:p>
    <w:p>
      <w:pPr>
        <w:pStyle w:val="TextBody"/>
        <w:bidi w:val="0"/>
        <w:spacing w:before="0" w:after="0"/>
        <w:jc w:val="left"/>
        <w:rPr>
          <w:rFonts w:ascii="Times New Roman" w:hAnsi="Times New Roman"/>
          <w:sz w:val="20"/>
        </w:rPr>
      </w:pPr>
      <w:r>
        <w:rPr>
          <w:rFonts w:ascii="Times New Roman" w:hAnsi="Times New Roman"/>
          <w:sz w:val="20"/>
        </w:rPr>
        <w:t xml:space="preserve">July 21, 2026 </w:t>
      </w:r>
    </w:p>
    <w:p>
      <w:pPr>
        <w:pStyle w:val="Normal"/>
        <w:bidi w:val="0"/>
        <w:spacing w:before="0" w:after="0"/>
        <w:jc w:val="left"/>
        <w:rPr>
          <w:sz w:val="4"/>
          <w:szCs w:val="4"/>
        </w:rPr>
      </w:pPr>
      <w:r>
        <w:rPr>
          <w:sz w:val="4"/>
          <w:szCs w:val="4"/>
        </w:rPr>
      </w:r>
      <w:bookmarkStart w:id="7" w:name="d142844dexfilingfees.htm"/>
      <w:bookmarkStart w:id="8" w:name="ksd142844dexfilingfees"/>
      <w:bookmarkStart w:id="9" w:name="d142844dexfilingfees.htm"/>
      <w:bookmarkStart w:id="10" w:name="ksd142844dexfilingfees"/>
      <w:bookmarkEnd w:id="9"/>
      <w:bookmarkEnd w:id="10"/>
      <w:r>
        <w:br w:type="page"/>
      </w:r>
    </w:p>
    <w:tbl>
      <w:tblPr>
        <w:tblW w:w="3568" w:type="dxa"/>
        <w:jc w:val="left"/>
        <w:tblInd w:w="0" w:type="dxa"/>
        <w:tblLayout w:type="fixed"/>
        <w:tblCellMar>
          <w:top w:w="28" w:type="dxa"/>
          <w:left w:w="28" w:type="dxa"/>
          <w:bottom w:w="28" w:type="dxa"/>
          <w:right w:w="28" w:type="dxa"/>
        </w:tblCellMar>
      </w:tblPr>
      <w:tblGrid>
        <w:gridCol w:w="3414"/>
        <w:gridCol w:w="154"/>
      </w:tblGrid>
      <w:tr>
        <w:trPr/>
        <w:tc>
          <w:tcPr>
            <w:tcW w:w="3568"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4"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14" w:type="dxa"/>
            <w:tcBorders/>
            <w:vAlign w:val="center"/>
          </w:tcPr>
          <w:p>
            <w:pPr>
              <w:pStyle w:val="TableContents"/>
              <w:bidi w:val="0"/>
              <w:spacing w:before="0" w:after="283"/>
              <w:jc w:val="left"/>
              <w:rPr>
                <w:b/>
              </w:rPr>
            </w:pPr>
            <w:r>
              <w:rPr>
                <w:b/>
              </w:rPr>
              <w:t xml:space="preserve">General Motors Co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99" w:type="dxa"/>
        <w:jc w:val="left"/>
        <w:tblInd w:w="0" w:type="dxa"/>
        <w:tblLayout w:type="fixed"/>
        <w:tblCellMar>
          <w:top w:w="28" w:type="dxa"/>
          <w:left w:w="28" w:type="dxa"/>
          <w:bottom w:w="28" w:type="dxa"/>
          <w:right w:w="28" w:type="dxa"/>
        </w:tblCellMar>
      </w:tblPr>
      <w:tblGrid>
        <w:gridCol w:w="241"/>
        <w:gridCol w:w="946"/>
        <w:gridCol w:w="991"/>
        <w:gridCol w:w="1276"/>
        <w:gridCol w:w="1186"/>
        <w:gridCol w:w="1156"/>
        <w:gridCol w:w="1966"/>
        <w:gridCol w:w="1126"/>
        <w:gridCol w:w="1411"/>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9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1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par value $0.01 per share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27,000,000 </w:t>
            </w:r>
          </w:p>
        </w:tc>
        <w:tc>
          <w:tcPr>
            <w:tcW w:w="1156" w:type="dxa"/>
            <w:tcBorders/>
            <w:shd w:fill="E7E7E2" w:val="clear"/>
            <w:vAlign w:val="center"/>
          </w:tcPr>
          <w:p>
            <w:pPr>
              <w:pStyle w:val="TableContents"/>
              <w:bidi w:val="0"/>
              <w:spacing w:before="0" w:after="283"/>
              <w:jc w:val="right"/>
              <w:rPr/>
            </w:pPr>
            <w:r>
              <w:rPr/>
              <w:t xml:space="preserve">$ 76.65 </w:t>
            </w:r>
          </w:p>
        </w:tc>
        <w:tc>
          <w:tcPr>
            <w:tcW w:w="1966" w:type="dxa"/>
            <w:tcBorders/>
            <w:shd w:fill="E7E7E2" w:val="clear"/>
            <w:vAlign w:val="center"/>
          </w:tcPr>
          <w:p>
            <w:pPr>
              <w:pStyle w:val="TableContents"/>
              <w:bidi w:val="0"/>
              <w:spacing w:before="0" w:after="283"/>
              <w:jc w:val="right"/>
              <w:rPr/>
            </w:pPr>
            <w:r>
              <w:rPr/>
              <w:t xml:space="preserve">$ 2,069,550,000.00 </w:t>
            </w:r>
          </w:p>
        </w:tc>
        <w:tc>
          <w:tcPr>
            <w:tcW w:w="1126" w:type="dxa"/>
            <w:tcBorders/>
            <w:shd w:fill="E7E7E2" w:val="clear"/>
            <w:vAlign w:val="center"/>
          </w:tcPr>
          <w:p>
            <w:pPr>
              <w:pStyle w:val="TableContents"/>
              <w:bidi w:val="0"/>
              <w:spacing w:before="0" w:after="283"/>
              <w:jc w:val="right"/>
              <w:rPr/>
            </w:pPr>
            <w:r>
              <w:rPr/>
              <w:t xml:space="preserve">0.0001381 </w:t>
            </w:r>
          </w:p>
        </w:tc>
        <w:tc>
          <w:tcPr>
            <w:tcW w:w="1411" w:type="dxa"/>
            <w:tcBorders/>
            <w:shd w:fill="E7E7E2" w:val="clear"/>
            <w:vAlign w:val="center"/>
          </w:tcPr>
          <w:p>
            <w:pPr>
              <w:pStyle w:val="TableContents"/>
              <w:bidi w:val="0"/>
              <w:spacing w:before="0" w:after="283"/>
              <w:jc w:val="right"/>
              <w:rPr/>
            </w:pPr>
            <w:r>
              <w:rPr/>
              <w:t xml:space="preserve">$ 285,804.86 </w:t>
            </w:r>
          </w:p>
        </w:tc>
      </w:tr>
      <w:tr>
        <w:trPr/>
        <w:tc>
          <w:tcPr>
            <w:tcW w:w="4640" w:type="dxa"/>
            <w:gridSpan w:val="5"/>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0"/>
              <w:ind w:left="0" w:right="0" w:hanging="0"/>
              <w:jc w:val="right"/>
              <w:rPr/>
            </w:pPr>
            <w:bookmarkStart w:id="11" w:name="MaxAggtOfferingPrice"/>
            <w:bookmarkEnd w:id="11"/>
            <w:r>
              <w:rPr/>
              <w:t xml:space="preserve">$ 2,069,550,000.00 </w:t>
            </w:r>
          </w:p>
        </w:tc>
        <w:tc>
          <w:tcPr>
            <w:tcW w:w="1126" w:type="dxa"/>
            <w:tcBorders/>
            <w:vAlign w:val="center"/>
          </w:tcPr>
          <w:p>
            <w:pPr>
              <w:pStyle w:val="TableContents"/>
              <w:bidi w:val="0"/>
              <w:spacing w:before="0" w:after="283"/>
              <w:jc w:val="left"/>
              <w:rPr>
                <w:sz w:val="4"/>
                <w:szCs w:val="4"/>
              </w:rPr>
            </w:pPr>
            <w:r>
              <w:rPr>
                <w:sz w:val="4"/>
                <w:szCs w:val="4"/>
              </w:rPr>
            </w:r>
          </w:p>
        </w:tc>
        <w:tc>
          <w:tcPr>
            <w:tcW w:w="141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2" w:name="TotalFeeAmt"/>
            <w:bookmarkEnd w:id="12"/>
            <w:r>
              <w:rPr/>
              <w:t xml:space="preserve">$ 285,804.86 </w:t>
            </w:r>
          </w:p>
        </w:tc>
      </w:tr>
      <w:tr>
        <w:trPr/>
        <w:tc>
          <w:tcPr>
            <w:tcW w:w="4640" w:type="dxa"/>
            <w:gridSpan w:val="5"/>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0"/>
              <w:ind w:left="0" w:right="0" w:hanging="0"/>
              <w:jc w:val="right"/>
              <w:rPr/>
            </w:pPr>
            <w:bookmarkStart w:id="13" w:name="TotalOffsetAmt"/>
            <w:bookmarkEnd w:id="13"/>
            <w:r>
              <w:rPr/>
              <w:t xml:space="preserve">$ 0.00 </w:t>
            </w:r>
          </w:p>
        </w:tc>
      </w:tr>
      <w:tr>
        <w:trPr/>
        <w:tc>
          <w:tcPr>
            <w:tcW w:w="4640" w:type="dxa"/>
            <w:gridSpan w:val="5"/>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0"/>
              <w:ind w:left="0" w:right="0" w:hanging="0"/>
              <w:jc w:val="right"/>
              <w:rPr/>
            </w:pPr>
            <w:bookmarkStart w:id="14" w:name="NetFeeAmt"/>
            <w:bookmarkEnd w:id="14"/>
            <w:r>
              <w:rPr/>
              <w:t xml:space="preserve">$ 285,804.86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1"/>
        <w:gridCol w:w="1297"/>
        <w:gridCol w:w="8707"/>
      </w:tblGrid>
      <w:tr>
        <w:trPr/>
        <w:tc>
          <w:tcPr>
            <w:tcW w:w="201"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4" w:type="dxa"/>
            <w:gridSpan w:val="2"/>
            <w:tcBorders/>
            <w:vAlign w:val="center"/>
          </w:tcPr>
          <w:p>
            <w:pPr>
              <w:pStyle w:val="TableContents"/>
              <w:bidi w:val="0"/>
              <w:spacing w:before="0" w:after="283"/>
              <w:jc w:val="left"/>
              <w:rPr/>
            </w:pPr>
            <w:r>
              <w:rPr/>
              <w:t xml:space="preserve">(1) Pursuant to Rule 416(a) of the Securities Act of 1933, as amended (the "Securities Act"), this Registration Statement shall be deemed to cover any additional shares of common stock, par value $0.01 per share (the "Common Stock"), of the Registrant that may become issuable pursuant to the General Motors Company 2020 Long-Term Incentive Plan, as amended (the "Plan") by reason of any stock dividend, stock split, recapitalization or other similar transaction effected without receipt of consideration that increases the number of outstanding shares of Common Stock. (2) Represents 27,000,000 additional shares of Common Stock that were added to the shares authorized for issuance to eligible persons under the Plan. (3) Estimated in accordance with Rules 457(c) and 457(h) under the Securities Act, based upon the average of the high and low prices of the Common Stock on the New York Stock Exchange on July 14, 2026.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467858/000119312520178815/d920608ds8.htm" TargetMode="External"/><Relationship Id="rId3" Type="http://schemas.openxmlformats.org/officeDocument/2006/relationships/hyperlink" Target="http://www.sec.gov/Archives/edgar/data/1467858/000119312523193529/d528245ds8.htm" TargetMode="External"/><Relationship Id="rId4" Type="http://schemas.openxmlformats.org/officeDocument/2006/relationships/hyperlink" Target="http://www.sec.gov/Archives/edgar/data/1467858/000146785826000013/gm-20251231.htm" TargetMode="External"/><Relationship Id="rId5" Type="http://schemas.openxmlformats.org/officeDocument/2006/relationships/hyperlink" Target="http://www.sec.gov/Archives/edgar/data/1467858/000146785826000022/gm-20260420.htm" TargetMode="External"/><Relationship Id="rId6" Type="http://schemas.openxmlformats.org/officeDocument/2006/relationships/hyperlink" Target="http://www.sec.gov/Archives/edgar/data/../../../ix?doc=/Archives/edgar/data/1467858/000146785826000035/gm-20260331.htm" TargetMode="External"/><Relationship Id="rId7" Type="http://schemas.openxmlformats.org/officeDocument/2006/relationships/hyperlink" Target="http://www.sec.gov/Archives/edgar/data/../../../ix?doc=/Archives/edgar/data/1467858/000146785826000051/gm-20260630.htm" TargetMode="External"/><Relationship Id="rId8" Type="http://schemas.openxmlformats.org/officeDocument/2006/relationships/hyperlink" Target="http://www.sec.gov/Archives/edgar/data/1467858/000146785826000005/gm-20260108.htm" TargetMode="External"/><Relationship Id="rId9" Type="http://schemas.openxmlformats.org/officeDocument/2006/relationships/hyperlink" Target="http://www.sec.gov/Archives/edgar/data/1467858/000119312526119684/d114837d8k.htm" TargetMode="External"/><Relationship Id="rId10" Type="http://schemas.openxmlformats.org/officeDocument/2006/relationships/hyperlink" Target="http://www.sec.gov/Archives/edgar/data/1467858/000119312526239340/d110158d8k.htm" TargetMode="External"/><Relationship Id="rId11" Type="http://schemas.openxmlformats.org/officeDocument/2006/relationships/hyperlink" Target="http://www.sec.gov/Archives/edgar/data/1467858/000146785826000044/gm-20260602.htm" TargetMode="External"/><Relationship Id="rId12" Type="http://schemas.openxmlformats.org/officeDocument/2006/relationships/hyperlink" Target="http://www.sec.gov/Archives/edgar/data/1467858/000119312510255289/d8a12b.htm" TargetMode="External"/><Relationship Id="rId13" Type="http://schemas.openxmlformats.org/officeDocument/2006/relationships/hyperlink" Target="http://www.sec.gov/Archives/edgar/data/1467858/000146785826000013/ex-41x12312025.htm" TargetMode="External"/><Relationship Id="rId14" Type="http://schemas.openxmlformats.org/officeDocument/2006/relationships/hyperlink" Target="http://www.sec.gov/Archives/edgar/data/1467858/000146785825000112/amendedandrestatedcharter.htm" TargetMode="External"/><Relationship Id="rId15" Type="http://schemas.openxmlformats.org/officeDocument/2006/relationships/hyperlink" Target="http://www.sec.gov/Archives/edgar/data/1467858/000119312524235250/d895658dex31.htm" TargetMode="External"/><Relationship Id="rId16" Type="http://schemas.openxmlformats.org/officeDocument/2006/relationships/hyperlink" Target="http://www.sec.gov/Archives/edgar/data/1467858/000119312520178815/d920608dex41.htm"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4293</Words>
  <Characters>22884</Characters>
  <CharactersWithSpaces>27259</CharactersWithSpaces>
  <Paragraphs>396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