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October 20,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GENERAL MOTORS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381"/>
        <w:gridCol w:w="381"/>
        <w:gridCol w:w="381"/>
        <w:gridCol w:w="381"/>
        <w:gridCol w:w="381"/>
        <w:gridCol w:w="38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001-34960</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27-0756180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6852" w:type="dxa"/>
        <w:jc w:val="center"/>
        <w:tblInd w:w="0" w:type="dxa"/>
        <w:tblLayout w:type="fixed"/>
        <w:tblCellMar>
          <w:top w:w="28" w:type="dxa"/>
          <w:left w:w="28" w:type="dxa"/>
          <w:bottom w:w="28" w:type="dxa"/>
          <w:right w:w="28" w:type="dxa"/>
        </w:tblCellMar>
      </w:tblPr>
      <w:tblGrid>
        <w:gridCol w:w="124"/>
        <w:gridCol w:w="109"/>
        <w:gridCol w:w="109"/>
        <w:gridCol w:w="182"/>
        <w:gridCol w:w="182"/>
        <w:gridCol w:w="182"/>
        <w:gridCol w:w="182"/>
        <w:gridCol w:w="182"/>
        <w:gridCol w:w="182"/>
        <w:gridCol w:w="182"/>
        <w:gridCol w:w="182"/>
        <w:gridCol w:w="182"/>
        <w:gridCol w:w="182"/>
        <w:gridCol w:w="182"/>
        <w:gridCol w:w="182"/>
        <w:gridCol w:w="249"/>
        <w:gridCol w:w="249"/>
        <w:gridCol w:w="251"/>
        <w:gridCol w:w="305"/>
        <w:gridCol w:w="305"/>
        <w:gridCol w:w="30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1240 Woodward Avenue</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Detroit,</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48265</w:t>
            </w:r>
          </w:p>
        </w:tc>
      </w:tr>
      <w:tr>
        <w:trPr/>
        <w:tc>
          <w:tcPr>
            <w:tcW w:w="48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(313)</w:t>
      </w:r>
      <w:r>
        <w:rPr>
          <w:color w:val="000000"/>
        </w:rPr>
        <w:t xml:space="preserve"> </w:t>
      </w:r>
      <w:r>
        <w:rPr>
          <w:rFonts w:ascii="Times New Roman;serif" w:hAnsi="Times New Roman;serif"/>
          <w:b/>
          <w:color w:val="000000"/>
          <w:sz w:val="20"/>
        </w:rPr>
        <w:t>667-1500</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tbl>
      <w:tblPr>
        <w:tblW w:w="876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37" w:type="dxa"/>
        <w:jc w:val="center"/>
        <w:tblInd w:w="0" w:type="dxa"/>
        <w:tblLayout w:type="fixed"/>
        <w:tblCellMar>
          <w:top w:w="28" w:type="dxa"/>
          <w:left w:w="28" w:type="dxa"/>
          <w:bottom w:w="28" w:type="dxa"/>
          <w:right w:w="28" w:type="dxa"/>
        </w:tblCellMar>
      </w:tblPr>
      <w:tblGrid>
        <w:gridCol w:w="870"/>
        <w:gridCol w:w="767"/>
        <w:gridCol w:w="777"/>
        <w:gridCol w:w="484"/>
        <w:gridCol w:w="484"/>
        <w:gridCol w:w="486"/>
        <w:gridCol w:w="956"/>
        <w:gridCol w:w="956"/>
        <w:gridCol w:w="1357"/>
      </w:tblGrid>
      <w:tr>
        <w:trPr/>
        <w:tc>
          <w:tcPr>
            <w:tcW w:w="8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GM</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40" w:after="283"/>
        <w:jc w:val="left"/>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On October 20, 2026, General Motors Company (GM) issued a news release and supplemental materials on the subject of its 2026 third quarter consolidated earnings. The news release and supplemental materials are attached as Exhibit 99.1.</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Charts furnished to securities analysts in connection with GM's 2026 third quarter consolidated earnings release are available on GM's website at www.gm.com/investors/earnings-releases.html.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w:t>
      </w:r>
    </w:p>
    <w:tbl>
      <w:tblPr>
        <w:tblW w:w="7739" w:type="dxa"/>
        <w:jc w:val="center"/>
        <w:tblInd w:w="0" w:type="dxa"/>
        <w:tblLayout w:type="fixed"/>
        <w:tblCellMar>
          <w:top w:w="28" w:type="dxa"/>
          <w:left w:w="28" w:type="dxa"/>
          <w:bottom w:w="28" w:type="dxa"/>
          <w:right w:w="28" w:type="dxa"/>
        </w:tblCellMar>
      </w:tblPr>
      <w:tblGrid>
        <w:gridCol w:w="412"/>
        <w:gridCol w:w="362"/>
        <w:gridCol w:w="365"/>
        <w:gridCol w:w="1933"/>
        <w:gridCol w:w="1933"/>
        <w:gridCol w:w="273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q32026pressreleaseandfin.htm">
              <w:r>
                <w:rPr>
                  <w:rStyle w:val="InternetLink"/>
                  <w:rFonts w:ascii="Times New Roman;serif" w:hAnsi="Times New Roman;serif"/>
                  <w:b w:val="false"/>
                  <w:color w:val="0000FF"/>
                  <w:sz w:val="20"/>
                  <w:u w:val="single"/>
                </w:rPr>
                <w:t>News Release and Financial Highlights Dated October 20, 2026</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25"/>
        <w:gridCol w:w="639"/>
        <w:gridCol w:w="642"/>
        <w:gridCol w:w="133"/>
        <w:gridCol w:w="133"/>
        <w:gridCol w:w="135"/>
        <w:gridCol w:w="2280"/>
        <w:gridCol w:w="2280"/>
        <w:gridCol w:w="3238"/>
      </w:tblGrid>
      <w:tr>
        <w:trPr/>
        <w:tc>
          <w:tcPr>
            <w:tcW w:w="7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3238"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MOTORS COMPANY (Registrant)</w:t>
            </w:r>
          </w:p>
          <w:p>
            <w:pPr>
              <w:pStyle w:val="TableContents"/>
              <w:bidi w:val="0"/>
              <w:spacing w:before="0" w:after="0"/>
              <w:jc w:val="left"/>
              <w:rPr/>
            </w:pPr>
            <w:r>
              <w:rPr/>
            </w:r>
          </w:p>
          <w:p>
            <w:pPr>
              <w:pStyle w:val="TableContents"/>
              <w:bidi w:val="0"/>
              <w:spacing w:before="0" w:after="0"/>
              <w:jc w:val="left"/>
              <w:rPr/>
            </w:pPr>
            <w:r>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HATTO</w:t>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Christopher T. Hatto, Vice President, Global Business Solutions and Chief Accounting Officer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90500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400050"/>
                    </a:xfrm>
                    <a:prstGeom prst="rect">
                      <a:avLst/>
                    </a:prstGeom>
                  </pic:spPr>
                </pic:pic>
              </a:graphicData>
            </a:graphic>
          </wp:inline>
        </w:drawing>
      </w:r>
    </w:p>
    <w:p>
      <w:pPr>
        <w:pStyle w:val="TextBody"/>
        <w:bidi w:val="0"/>
        <w:spacing w:lineRule="auto" w:line="288" w:before="0" w:after="0"/>
        <w:jc w:val="right"/>
        <w:rPr>
          <w:rFonts w:ascii="Arial;sans-serif" w:hAnsi="Arial;sans-serif"/>
          <w:b w:val="false"/>
          <w:color w:val="6D6D6D"/>
          <w:sz w:val="58"/>
        </w:rPr>
      </w:pPr>
      <w:r>
        <w:rPr>
          <w:rFonts w:ascii="Arial;sans-serif" w:hAnsi="Arial;sans-serif"/>
          <w:b w:val="false"/>
          <w:color w:val="6D6D6D"/>
          <w:sz w:val="58"/>
        </w:rPr>
        <w:t>News</w:t>
      </w:r>
    </w:p>
    <w:p>
      <w:pPr>
        <w:pStyle w:val="TextBody"/>
        <w:bidi w:val="0"/>
        <w:spacing w:before="0" w:after="0"/>
        <w:jc w:val="left"/>
        <w:rPr/>
      </w:pPr>
      <w:r>
        <w:rPr/>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For Release: Tuesday, October 20, 2026, at 6:30 a.m. ET</w:t>
      </w:r>
    </w:p>
    <w:p>
      <w:pPr>
        <w:pStyle w:val="TextBody"/>
        <w:bidi w:val="0"/>
        <w:spacing w:before="0" w:after="0"/>
        <w:jc w:val="left"/>
        <w:rPr/>
      </w:pPr>
      <w:r>
        <w:rPr/>
      </w:r>
    </w:p>
    <w:p>
      <w:pPr>
        <w:pStyle w:val="TextBody"/>
        <w:bidi w:val="0"/>
        <w:spacing w:lineRule="auto" w:line="276" w:before="0" w:after="0"/>
        <w:jc w:val="left"/>
        <w:rPr>
          <w:rFonts w:ascii="Overpass;sans-serif" w:hAnsi="Overpass;sans-serif"/>
          <w:b/>
          <w:color w:val="000000"/>
          <w:sz w:val="24"/>
        </w:rPr>
      </w:pPr>
      <w:r>
        <w:rPr>
          <w:rFonts w:ascii="Overpass;sans-serif" w:hAnsi="Overpass;sans-serif"/>
          <w:b/>
          <w:color w:val="000000"/>
          <w:sz w:val="24"/>
        </w:rPr>
        <w:t xml:space="preserve">GM releases 2026 third-quarter results and updates full-year 2026 guidance; </w:t>
        <w:br/>
        <w:t>Board approves new $20 billion share repurchase authorization, declares quarterly dividend</w:t>
      </w:r>
    </w:p>
    <w:p>
      <w:pPr>
        <w:pStyle w:val="TextBody"/>
        <w:bidi w:val="0"/>
        <w:spacing w:before="0" w:after="0"/>
        <w:jc w:val="left"/>
        <w:rPr/>
      </w:pPr>
      <w:r>
        <w:rPr/>
      </w:r>
    </w:p>
    <w:p>
      <w:pPr>
        <w:pStyle w:val="TextBody"/>
        <w:bidi w:val="0"/>
        <w:spacing w:lineRule="auto" w:line="288" w:before="0" w:after="0"/>
        <w:jc w:val="left"/>
        <w:rPr/>
      </w:pPr>
      <w:r>
        <w:rPr>
          <w:rFonts w:ascii="Overpass;sans-serif" w:hAnsi="Overpass;sans-serif"/>
          <w:b/>
          <w:color w:val="000000"/>
          <w:sz w:val="20"/>
        </w:rPr>
        <w:t xml:space="preserve">DETROIT </w:t>
      </w:r>
      <w:r>
        <w:rPr>
          <w:color w:val="000000"/>
        </w:rPr>
        <w:t xml:space="preserve">– </w:t>
      </w:r>
      <w:r>
        <w:rPr>
          <w:rFonts w:ascii="Overpass;sans-serif" w:hAnsi="Overpass;sans-serif"/>
          <w:b w:val="false"/>
          <w:color w:val="000000"/>
          <w:sz w:val="20"/>
        </w:rPr>
        <w:t xml:space="preserve">General Motors (NYSE: GM) today reported third-quarter 2026 revenue of $50.0 billion, net income attributable to stockholders of $3.3 billion, and EBIT-adjusted of $4.1 billion. </w:t>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 xml:space="preserve">The company is updating its full-year 2026 EBIT-adjusted guidance, narrowing the range. The company expects net income attributable to stockholders to be $8.9 billion to $9.5 billion; Automotive operating cash flow to be </w:t>
        <w:br/>
        <w:t xml:space="preserve">$17.3 billion to $20.3 billion; and EPS-diluted to be $9.72 to $10.72 based on its updated guidance and the impact of adjustments recorded year to date. These expected financial results do not include the potential impact </w:t>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 xml:space="preserve">of future adjustments related to special items. </w:t>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 xml:space="preserve">The table below shows the revised guidance and how it compares to prior guidance. </w:t>
      </w:r>
    </w:p>
    <w:p>
      <w:pPr>
        <w:pStyle w:val="TextBody"/>
        <w:bidi w:val="0"/>
        <w:spacing w:before="0" w:after="0"/>
        <w:jc w:val="left"/>
        <w:rPr/>
      </w:pPr>
      <w:r>
        <w:rPr/>
      </w:r>
    </w:p>
    <w:tbl>
      <w:tblPr>
        <w:tblW w:w="8427" w:type="dxa"/>
        <w:jc w:val="left"/>
        <w:tblInd w:w="0" w:type="dxa"/>
        <w:tblLayout w:type="fixed"/>
        <w:tblCellMar>
          <w:top w:w="28" w:type="dxa"/>
          <w:left w:w="28" w:type="dxa"/>
          <w:bottom w:w="28" w:type="dxa"/>
          <w:right w:w="28" w:type="dxa"/>
        </w:tblCellMar>
      </w:tblPr>
      <w:tblGrid>
        <w:gridCol w:w="1201"/>
        <w:gridCol w:w="1055"/>
        <w:gridCol w:w="1058"/>
        <w:gridCol w:w="844"/>
        <w:gridCol w:w="844"/>
        <w:gridCol w:w="846"/>
        <w:gridCol w:w="755"/>
        <w:gridCol w:w="755"/>
        <w:gridCol w:w="1069"/>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Updated 2026 guidance</w:t>
            </w:r>
          </w:p>
        </w:tc>
        <w:tc>
          <w:tcPr>
            <w:tcW w:w="25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Previous 2026 guidance</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EBIT-adjusted</w:t>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left"/>
              <w:rPr>
                <w:rFonts w:ascii="Overpass;sans-serif" w:hAnsi="Overpass;sans-serif"/>
                <w:b w:val="false"/>
                <w:color w:val="000000"/>
                <w:sz w:val="18"/>
              </w:rPr>
            </w:pPr>
            <w:r>
              <w:rPr>
                <w:rFonts w:ascii="Overpass;sans-serif" w:hAnsi="Overpass;sans-serif"/>
                <w:b w:val="false"/>
                <w:color w:val="000000"/>
                <w:sz w:val="18"/>
              </w:rPr>
              <w:t>$14.5 billion - $15.5 billion</w:t>
            </w:r>
          </w:p>
        </w:tc>
        <w:tc>
          <w:tcPr>
            <w:tcW w:w="25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$14.0 billion - $16.0 billion</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Adjusted automotive free cash flow</w:t>
            </w:r>
          </w:p>
        </w:tc>
        <w:tc>
          <w:tcPr>
            <w:tcW w:w="25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Overpass;sans-serif" w:hAnsi="Overpass;sans-serif"/>
                <w:b w:val="false"/>
                <w:color w:val="000000"/>
                <w:sz w:val="18"/>
              </w:rPr>
            </w:pPr>
            <w:r>
              <w:rPr>
                <w:rFonts w:ascii="Overpass;sans-serif" w:hAnsi="Overpass;sans-serif"/>
                <w:b w:val="false"/>
                <w:color w:val="000000"/>
                <w:sz w:val="18"/>
              </w:rPr>
              <w:t>$11.5 billion - $12.5 billion</w:t>
            </w:r>
          </w:p>
        </w:tc>
        <w:tc>
          <w:tcPr>
            <w:tcW w:w="25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$9.5 billion - $11.5 billion</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EPS-diluted-adjusted</w:t>
            </w:r>
          </w:p>
        </w:tc>
        <w:tc>
          <w:tcPr>
            <w:tcW w:w="25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Overpass;sans-serif" w:hAnsi="Overpass;sans-serif"/>
                <w:b w:val="false"/>
                <w:color w:val="000000"/>
                <w:sz w:val="18"/>
              </w:rPr>
            </w:pPr>
            <w:r>
              <w:rPr>
                <w:rFonts w:ascii="Overpass;sans-serif" w:hAnsi="Overpass;sans-serif"/>
                <w:b w:val="false"/>
                <w:color w:val="000000"/>
                <w:sz w:val="18"/>
              </w:rPr>
              <w:t>$12.75 - $13.75</w:t>
            </w:r>
          </w:p>
        </w:tc>
        <w:tc>
          <w:tcPr>
            <w:tcW w:w="25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$12.00 - $14.00</w:t>
            </w:r>
          </w:p>
        </w:tc>
      </w:tr>
    </w:tbl>
    <w:p>
      <w:pPr>
        <w:pStyle w:val="TextBody"/>
        <w:bidi w:val="0"/>
        <w:spacing w:before="0" w:after="0"/>
        <w:jc w:val="left"/>
        <w:rPr/>
      </w:pPr>
      <w:r>
        <w:rPr/>
      </w:r>
    </w:p>
    <w:p>
      <w:pPr>
        <w:pStyle w:val="TextBody"/>
        <w:bidi w:val="0"/>
        <w:spacing w:lineRule="auto" w:line="288" w:before="0" w:after="0"/>
        <w:jc w:val="left"/>
        <w:rPr/>
      </w:pPr>
      <w:r>
        <w:rPr>
          <w:rFonts w:ascii="Overpass;sans-serif" w:hAnsi="Overpass;sans-serif"/>
          <w:b/>
          <w:color w:val="000000"/>
          <w:sz w:val="20"/>
          <w:u w:val="single"/>
        </w:rPr>
        <w:t>Board approves share repurchase program and quarterly dividend</w:t>
      </w:r>
      <w:r>
        <w:rPr>
          <w:rFonts w:ascii="Overpass;sans-serif" w:hAnsi="Overpass;sans-serif"/>
          <w:b w:val="false"/>
          <w:color w:val="000000"/>
          <w:sz w:val="20"/>
        </w:rPr>
        <w:br/>
        <w:t xml:space="preserve">The company also announced it has completed the $6.0 billion share repurchase program announced in January of 2026, and its Board of Directors has approved a new $20.0 billion multi-year share repurchase authorization. </w:t>
      </w:r>
    </w:p>
    <w:p>
      <w:pPr>
        <w:pStyle w:val="TextBody"/>
        <w:bidi w:val="0"/>
        <w:spacing w:before="0" w:after="0"/>
        <w:jc w:val="left"/>
        <w:rPr/>
      </w:pPr>
      <w:r>
        <w:rPr/>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 xml:space="preserve">The new share repurchase program, which has no expiration date, will be executed in accordance with applicable securities laws and regulations and may be suspended or discontinued at any time at the company's discretion. </w:t>
      </w:r>
    </w:p>
    <w:p>
      <w:pPr>
        <w:pStyle w:val="TextBody"/>
        <w:bidi w:val="0"/>
        <w:spacing w:before="0" w:after="0"/>
        <w:jc w:val="left"/>
        <w:rPr/>
      </w:pPr>
      <w:r>
        <w:rPr/>
      </w:r>
    </w:p>
    <w:p>
      <w:pPr>
        <w:pStyle w:val="TextBody"/>
        <w:bidi w:val="0"/>
        <w:spacing w:lineRule="auto" w:line="268" w:before="0" w:after="0"/>
        <w:jc w:val="left"/>
        <w:rPr>
          <w:rFonts w:ascii="Overpass;sans-serif" w:hAnsi="Overpass;sans-serif"/>
          <w:b w:val="false"/>
          <w:color w:val="000000"/>
          <w:sz w:val="20"/>
        </w:rPr>
      </w:pPr>
      <w:r>
        <w:rPr>
          <w:rFonts w:ascii="Overpass;sans-serif" w:hAnsi="Overpass;sans-serif"/>
          <w:b w:val="false"/>
          <w:color w:val="000000"/>
          <w:sz w:val="20"/>
        </w:rPr>
        <w:t xml:space="preserve">As of September 30, 2026, the company had 849 million shares outstanding, down from 904 million at the end of 2025. There were 995 million shares outstanding at the end of 2024, and 1.2 billion at the end of 2023. </w:t>
      </w:r>
    </w:p>
    <w:p>
      <w:pPr>
        <w:pStyle w:val="TextBody"/>
        <w:bidi w:val="0"/>
        <w:spacing w:before="0" w:after="0"/>
        <w:jc w:val="left"/>
        <w:rPr/>
      </w:pPr>
      <w:r>
        <w:rPr/>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 xml:space="preserve">GM also announced today that its Board of Directors has declared a quarterly cash dividend on the company's outstanding common stock of $0.18 per share, payable December 17, 2026, to holders of the company's common stock at the close of trading on December 4, 2026. </w:t>
      </w:r>
    </w:p>
    <w:p>
      <w:pPr>
        <w:pStyle w:val="TextBody"/>
        <w:bidi w:val="0"/>
        <w:spacing w:before="0" w:after="0"/>
        <w:jc w:val="left"/>
        <w:rPr/>
      </w:pPr>
      <w:r>
        <w:rPr/>
      </w:r>
    </w:p>
    <w:p>
      <w:pPr>
        <w:pStyle w:val="TextBody"/>
        <w:bidi w:val="0"/>
        <w:spacing w:lineRule="auto" w:line="268" w:before="0" w:after="0"/>
        <w:jc w:val="left"/>
        <w:rPr>
          <w:rFonts w:ascii="Overpass;sans-serif" w:hAnsi="Overpass;sans-serif"/>
          <w:b w:val="false"/>
          <w:color w:val="000000"/>
          <w:sz w:val="20"/>
        </w:rPr>
      </w:pPr>
      <w:r>
        <w:rPr>
          <w:rFonts w:ascii="Overpass;sans-serif" w:hAnsi="Overpass;sans-serif"/>
          <w:b w:val="false"/>
          <w:color w:val="000000"/>
          <w:sz w:val="20"/>
        </w:rPr>
        <w:t xml:space="preserve">An overview of quarterly results and financial highlights appears below. Visit the GM Investor Relations website to download the company's earnings deck and GM Chair and CEO Mary Barra's Letter to Shareholders. </w:t>
      </w:r>
    </w:p>
    <w:p>
      <w:pPr>
        <w:pStyle w:val="TextBody"/>
        <w:bidi w:val="0"/>
        <w:spacing w:before="0" w:after="0"/>
        <w:jc w:val="left"/>
        <w:rPr/>
      </w:pPr>
      <w:r>
        <w:rPr/>
      </w:r>
    </w:p>
    <w:p>
      <w:pPr>
        <w:pStyle w:val="TextBody"/>
        <w:bidi w:val="0"/>
        <w:spacing w:lineRule="auto" w:line="288" w:before="0" w:after="0"/>
        <w:jc w:val="left"/>
        <w:rPr>
          <w:rFonts w:ascii="Overpass;sans-serif" w:hAnsi="Overpass;sans-serif"/>
          <w:b/>
          <w:color w:val="000000"/>
          <w:sz w:val="20"/>
          <w:u w:val="single"/>
        </w:rPr>
      </w:pPr>
      <w:r>
        <w:rPr>
          <w:rFonts w:ascii="Overpass;sans-serif" w:hAnsi="Overpass;sans-serif"/>
          <w:b/>
          <w:color w:val="000000"/>
          <w:sz w:val="20"/>
          <w:u w:val="single"/>
        </w:rPr>
        <w:t>Conference call for investors and analysts</w:t>
      </w:r>
    </w:p>
    <w:p>
      <w:pPr>
        <w:pStyle w:val="TextBody"/>
        <w:bidi w:val="0"/>
        <w:spacing w:before="0" w:after="0"/>
        <w:jc w:val="left"/>
        <w:rPr/>
      </w:pPr>
      <w:r>
        <w:rPr/>
      </w:r>
    </w:p>
    <w:p>
      <w:pPr>
        <w:pStyle w:val="TextBody"/>
        <w:bidi w:val="0"/>
        <w:spacing w:lineRule="auto" w:line="268" w:before="0" w:after="0"/>
        <w:jc w:val="left"/>
        <w:rPr/>
      </w:pPr>
      <w:r>
        <w:rPr>
          <w:rFonts w:ascii="Overpass;sans-serif" w:hAnsi="Overpass;sans-serif"/>
          <w:b w:val="false"/>
          <w:color w:val="000000"/>
          <w:sz w:val="20"/>
        </w:rPr>
        <w:t>Mary Barra and GM Chief Financial Officer Paul Jacobson will host a conference call for the</w:t>
      </w:r>
      <w:r>
        <w:rPr>
          <w:color w:val="000000"/>
        </w:rPr>
        <w:t> </w:t>
      </w:r>
      <w:r>
        <w:rPr>
          <w:rFonts w:ascii="Overpass;sans-serif" w:hAnsi="Overpass;sans-serif"/>
          <w:b w:val="false"/>
          <w:color w:val="000000"/>
          <w:sz w:val="20"/>
        </w:rPr>
        <w:t>investment community at 8:30 a.m. ET today to discuss these results.</w:t>
      </w:r>
    </w:p>
    <w:p>
      <w:pPr>
        <w:pStyle w:val="TextBody"/>
        <w:bidi w:val="0"/>
        <w:spacing w:before="0" w:after="0"/>
        <w:jc w:val="left"/>
        <w:rPr/>
      </w:pPr>
      <w:r>
        <w:rPr/>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Conference call details are as follows:</w:t>
      </w:r>
    </w:p>
    <w:p>
      <w:pPr>
        <w:pStyle w:val="TextBody"/>
        <w:bidi w:val="0"/>
        <w:spacing w:lineRule="auto" w:line="288" w:before="0" w:after="0"/>
        <w:ind w:left="0" w:right="0" w:hanging="360"/>
        <w:jc w:val="left"/>
        <w:rPr/>
      </w:pPr>
      <w:r>
        <w:rPr>
          <w:color w:val="000000"/>
        </w:rPr>
        <w:t>•</w:t>
      </w:r>
      <w:r>
        <w:rPr>
          <w:rFonts w:ascii="Overpass;sans-serif" w:hAnsi="Overpass;sans-serif"/>
          <w:b w:val="false"/>
          <w:color w:val="000000"/>
          <w:sz w:val="20"/>
        </w:rPr>
        <w:t>1-800-857-9821 (U.S.)</w:t>
      </w:r>
    </w:p>
    <w:p>
      <w:pPr>
        <w:pStyle w:val="TextBody"/>
        <w:bidi w:val="0"/>
        <w:spacing w:lineRule="auto" w:line="288" w:before="0" w:after="0"/>
        <w:ind w:left="0" w:right="0" w:hanging="360"/>
        <w:jc w:val="left"/>
        <w:rPr/>
      </w:pPr>
      <w:r>
        <w:rPr>
          <w:color w:val="000000"/>
        </w:rPr>
        <w:t>•</w:t>
      </w:r>
      <w:r>
        <w:rPr>
          <w:rFonts w:ascii="Overpass;sans-serif" w:hAnsi="Overpass;sans-serif"/>
          <w:b w:val="false"/>
          <w:color w:val="000000"/>
          <w:sz w:val="20"/>
        </w:rPr>
        <w:t>1-517-308-9481 (international/caller-paid)</w:t>
      </w:r>
    </w:p>
    <w:p>
      <w:pPr>
        <w:pStyle w:val="TextBody"/>
        <w:bidi w:val="0"/>
        <w:spacing w:lineRule="auto" w:line="288" w:before="0" w:after="0"/>
        <w:ind w:left="0" w:right="0" w:hanging="360"/>
        <w:jc w:val="left"/>
        <w:rPr/>
      </w:pPr>
      <w:r>
        <w:rPr>
          <w:color w:val="000000"/>
        </w:rPr>
        <w:t>•</w:t>
      </w:r>
      <w:r>
        <w:rPr>
          <w:rFonts w:ascii="Overpass;sans-serif" w:hAnsi="Overpass;sans-serif"/>
          <w:b/>
          <w:color w:val="000000"/>
          <w:sz w:val="20"/>
        </w:rPr>
        <w:t>Conference call passcode:</w:t>
      </w:r>
      <w:r>
        <w:rPr>
          <w:color w:val="000000"/>
        </w:rPr>
        <w:t xml:space="preserve"> </w:t>
      </w:r>
      <w:r>
        <w:rPr>
          <w:rFonts w:ascii="Overpass;sans-serif" w:hAnsi="Overpass;sans-serif"/>
          <w:b w:val="false"/>
          <w:color w:val="000000"/>
          <w:sz w:val="20"/>
        </w:rPr>
        <w:t>General Motors</w:t>
      </w:r>
    </w:p>
    <w:p>
      <w:pPr>
        <w:pStyle w:val="TextBody"/>
        <w:bidi w:val="0"/>
        <w:spacing w:lineRule="auto" w:line="288" w:before="0" w:after="0"/>
        <w:ind w:left="0" w:right="0" w:hanging="360"/>
        <w:jc w:val="left"/>
        <w:rPr/>
      </w:pPr>
      <w:r>
        <w:rPr>
          <w:color w:val="000000"/>
        </w:rPr>
        <w:t>•</w:t>
      </w:r>
      <w:r>
        <w:rPr>
          <w:rFonts w:ascii="Overpass;sans-serif" w:hAnsi="Overpass;sans-serif"/>
          <w:b w:val="false"/>
          <w:color w:val="000000"/>
          <w:sz w:val="20"/>
        </w:rPr>
        <w:t>An audio replay will be available on the GM Investor Relations website</w:t>
      </w:r>
      <w:r>
        <w:rPr>
          <w:color w:val="0563C1"/>
        </w:rPr>
        <w:t xml:space="preserve"> </w:t>
      </w:r>
      <w:r>
        <w:rPr>
          <w:rFonts w:ascii="Overpass;sans-serif" w:hAnsi="Overpass;sans-serif"/>
          <w:b w:val="false"/>
          <w:color w:val="000000"/>
          <w:sz w:val="20"/>
        </w:rPr>
        <w:t>in the Events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6705"/>
                <wp:effectExtent l="0" t="0" r="0" b="0"/>
                <wp:wrapNone/>
                <wp:docPr id="5" name="Frame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Overpass;sans-serif" w:hAnsi="Overpass;sans-serif"/>
          <w:b/>
          <w:color w:val="000000"/>
          <w:sz w:val="22"/>
          <w:u w:val="single"/>
        </w:rPr>
      </w:pPr>
      <w:r>
        <w:rPr>
          <w:rFonts w:ascii="Overpass;sans-serif" w:hAnsi="Overpass;sans-serif"/>
          <w:b/>
          <w:color w:val="000000"/>
          <w:sz w:val="22"/>
          <w:u w:val="single"/>
        </w:rPr>
        <w:t>Results 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581"/>
        <w:gridCol w:w="1155"/>
        <w:gridCol w:w="1163"/>
        <w:gridCol w:w="334"/>
        <w:gridCol w:w="1221"/>
        <w:gridCol w:w="400"/>
        <w:gridCol w:w="334"/>
        <w:gridCol w:w="1221"/>
        <w:gridCol w:w="400"/>
        <w:gridCol w:w="226"/>
        <w:gridCol w:w="706"/>
        <w:gridCol w:w="109"/>
        <w:gridCol w:w="327"/>
        <w:gridCol w:w="328"/>
        <w:gridCol w:w="700"/>
      </w:tblGrid>
      <w:tr>
        <w:trPr/>
        <w:tc>
          <w:tcPr>
            <w:tcW w:w="158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20"/>
              </w:rPr>
            </w:pPr>
            <w:r>
              <w:rPr>
                <w:rFonts w:ascii="Overpass;sans-serif" w:hAnsi="Overpass;sans-serif"/>
                <w:b/>
                <w:color w:val="000000"/>
                <w:sz w:val="20"/>
              </w:rPr>
              <w:t>Three Months Ended</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i/>
                <w:color w:val="000000"/>
                <w:sz w:val="18"/>
              </w:rPr>
            </w:pPr>
            <w:r>
              <w:rPr>
                <w:rFonts w:ascii="Overpass;sans-serif" w:hAnsi="Overpass;sans-serif"/>
                <w:b w:val="false"/>
                <w:i/>
                <w:color w:val="000000"/>
                <w:sz w:val="18"/>
              </w:rPr>
              <w:t>($M) except per share amounts</w:t>
            </w:r>
          </w:p>
        </w:tc>
        <w:tc>
          <w:tcPr>
            <w:tcW w:w="1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September 30, 2026</w:t>
            </w:r>
          </w:p>
        </w:tc>
        <w:tc>
          <w:tcPr>
            <w:tcW w:w="1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September 30, 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Change</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 Change</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Revenue</w:t>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50,015 </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48,591 </w:t>
            </w:r>
          </w:p>
        </w:tc>
        <w:tc>
          <w:tcPr>
            <w:tcW w:w="4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1,424 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2.9 </w:t>
            </w:r>
          </w:p>
        </w:tc>
        <w:tc>
          <w:tcPr>
            <w:tcW w:w="7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income (loss) attributable to stockholders(a)</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3,335 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1,327 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n.m.</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EBIT-adjusted</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4,106 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3,376 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21.6 </w:t>
            </w:r>
          </w:p>
        </w:tc>
        <w:tc>
          <w:tcPr>
            <w:tcW w:w="700"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income margin(a)</w:t>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6.7 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2.7 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4.0 ppts</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n.m.</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EBIT-adjusted margin</w:t>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8.2 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6.9 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1.3 ppts</w:t>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18.8 </w:t>
            </w:r>
          </w:p>
        </w:tc>
        <w:tc>
          <w:tcPr>
            <w:tcW w:w="700"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Automotive operating cash flow</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8,049 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6,070 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32.6 </w:t>
            </w:r>
          </w:p>
        </w:tc>
        <w:tc>
          <w:tcPr>
            <w:tcW w:w="700"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Adjusted automotive free cash flow</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5,882 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4,201 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40.0 </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EPS-diluted(a)</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3.73 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1.35 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n.m.</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EPS-diluted-adjusted</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3.70 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2.80 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32.2 </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GMNA EBIT-adjusted</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3,592 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2,506 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43.4 </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GMNA EBIT-adjusted margin</w:t>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8.7 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6.2 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2.5 ppts</w:t>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40.3 </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GMI EBIT-adjusted</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28 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226 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(87.7)</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China equity income (loss)</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32 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80 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(60.3)</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 Financial EBT-adjusted</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668 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804 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(16.9)</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bl>
    <w:p>
      <w:pPr>
        <w:pStyle w:val="TextBody"/>
        <w:bidi w:val="0"/>
        <w:spacing w:lineRule="auto" w:line="288" w:before="0" w:after="0"/>
        <w:jc w:val="both"/>
        <w:rPr>
          <w:rFonts w:ascii="Overpass;sans-serif" w:hAnsi="Overpass;sans-serif"/>
          <w:b w:val="false"/>
          <w:color w:val="000000"/>
          <w:sz w:val="16"/>
        </w:rPr>
      </w:pPr>
      <w:r>
        <w:rPr>
          <w:rFonts w:ascii="Overpass;sans-serif" w:hAnsi="Overpass;sans-serif"/>
          <w:b w:val="false"/>
          <w:color w:val="000000"/>
          <w:sz w:val="16"/>
        </w:rPr>
        <w:t>__________</w:t>
      </w:r>
    </w:p>
    <w:p>
      <w:pPr>
        <w:pStyle w:val="TextBody"/>
        <w:bidi w:val="0"/>
        <w:spacing w:lineRule="auto" w:line="288" w:before="0" w:after="0"/>
        <w:ind w:left="0" w:right="0" w:hanging="360"/>
        <w:jc w:val="both"/>
        <w:rPr>
          <w:rFonts w:ascii="Overpass;sans-serif" w:hAnsi="Overpass;sans-serif"/>
          <w:b w:val="false"/>
          <w:color w:val="000000"/>
          <w:sz w:val="16"/>
        </w:rPr>
      </w:pPr>
      <w:r>
        <w:rPr>
          <w:rFonts w:ascii="Overpass;sans-serif" w:hAnsi="Overpass;sans-serif"/>
          <w:b w:val="false"/>
          <w:color w:val="000000"/>
          <w:sz w:val="16"/>
        </w:rPr>
        <w:t>(a)n.m.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6705"/>
                <wp:effectExtent l="0" t="0" r="0" b="0"/>
                <wp:wrapNone/>
                <wp:docPr id="6" name="Frame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Overpass;sans-serif" w:hAnsi="Overpass;sans-serif"/>
          <w:b/>
          <w:color w:val="000000"/>
          <w:sz w:val="20"/>
        </w:rPr>
        <w:t>General Motors</w:t>
      </w:r>
      <w:r>
        <w:rPr>
          <w:color w:val="000000"/>
        </w:rPr>
        <w:t xml:space="preserve"> </w:t>
      </w:r>
      <w:r>
        <w:rPr>
          <w:rFonts w:ascii="Overpass;sans-serif" w:hAnsi="Overpass;sans-serif"/>
          <w:b w:val="false"/>
          <w:color w:val="000000"/>
          <w:sz w:val="20"/>
        </w:rPr>
        <w:t>(NYSE:GM) is driving the future of transportation, leveraging advanced technology to build safer, smarter, and lower emission cars, trucks, and SUVs. GM’s Buick, Cadillac, Chevrolet, and GMC brands offer a broad portfolio of innovative gasoline-powered vehicles and the industry’s widest range of EVs, as we move to an all-electric future. Learn more at GM.com.</w:t>
      </w:r>
    </w:p>
    <w:p>
      <w:pPr>
        <w:pStyle w:val="TextBody"/>
        <w:bidi w:val="0"/>
        <w:spacing w:before="0" w:after="0"/>
        <w:jc w:val="both"/>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w:t>
      </w:r>
    </w:p>
    <w:p>
      <w:pPr>
        <w:pStyle w:val="TextBody"/>
        <w:bidi w:val="0"/>
        <w:spacing w:before="0" w:after="0"/>
        <w:jc w:val="center"/>
        <w:rPr/>
      </w:pPr>
      <w:r>
        <w:rPr/>
      </w:r>
    </w:p>
    <w:tbl>
      <w:tblPr>
        <w:tblW w:w="5146" w:type="dxa"/>
        <w:jc w:val="left"/>
        <w:tblInd w:w="0" w:type="dxa"/>
        <w:tblLayout w:type="fixed"/>
        <w:tblCellMar>
          <w:top w:w="28" w:type="dxa"/>
          <w:left w:w="28" w:type="dxa"/>
          <w:bottom w:w="28" w:type="dxa"/>
          <w:right w:w="28" w:type="dxa"/>
        </w:tblCellMar>
      </w:tblPr>
      <w:tblGrid>
        <w:gridCol w:w="1026"/>
        <w:gridCol w:w="903"/>
        <w:gridCol w:w="906"/>
        <w:gridCol w:w="677"/>
        <w:gridCol w:w="677"/>
        <w:gridCol w:w="957"/>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verpass;sans-serif" w:hAnsi="Overpass;sans-serif"/>
                <w:b/>
                <w:color w:val="000000"/>
                <w:sz w:val="20"/>
              </w:rPr>
            </w:pPr>
            <w:r>
              <w:rPr>
                <w:rFonts w:ascii="Overpass;sans-serif" w:hAnsi="Overpass;sans-serif"/>
                <w:b/>
                <w:color w:val="000000"/>
                <w:sz w:val="20"/>
              </w:rPr>
              <w:t>CONTACTS:</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Jim Cain</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GM Communications</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313-407-2843</w:t>
            </w:r>
          </w:p>
          <w:p>
            <w:pPr>
              <w:pStyle w:val="TableContents"/>
              <w:bidi w:val="0"/>
              <w:spacing w:lineRule="auto" w:line="288" w:before="0" w:after="0"/>
              <w:jc w:val="left"/>
              <w:rPr/>
            </w:pPr>
            <w:r>
              <w:rPr>
                <w:rFonts w:ascii="Overpass;sans-serif" w:hAnsi="Overpass;sans-serif"/>
                <w:b w:val="false"/>
                <w:color w:val="0563C1"/>
                <w:sz w:val="20"/>
                <w:u w:val="single"/>
              </w:rPr>
              <w:t>james.cain@chevrolet.com</w:t>
            </w:r>
            <w:r>
              <w:rPr>
                <w:color w:val="000000"/>
              </w:rPr>
              <w:t xml:space="preserve"> </w:t>
            </w:r>
          </w:p>
          <w:p>
            <w:pPr>
              <w:pStyle w:val="TableContents"/>
              <w:bidi w:val="0"/>
              <w:spacing w:before="0" w:after="0"/>
              <w:jc w:val="left"/>
              <w:rPr/>
            </w:pPr>
            <w:r>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Ashish Kohli, CFA</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GM Investor Relations</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847-964-3459</w:t>
            </w:r>
          </w:p>
          <w:p>
            <w:pPr>
              <w:pStyle w:val="TableContents"/>
              <w:bidi w:val="0"/>
              <w:spacing w:lineRule="auto" w:line="288" w:before="0" w:after="0"/>
              <w:jc w:val="left"/>
              <w:rPr>
                <w:rFonts w:ascii="Overpass;sans-serif" w:hAnsi="Overpass;sans-serif"/>
                <w:b w:val="false"/>
                <w:color w:val="0563C1"/>
                <w:sz w:val="20"/>
                <w:u w:val="single"/>
              </w:rPr>
            </w:pPr>
            <w:r>
              <w:rPr>
                <w:rFonts w:ascii="Overpass;sans-serif" w:hAnsi="Overpass;sans-serif"/>
                <w:b w:val="false"/>
                <w:color w:val="0563C1"/>
                <w:sz w:val="20"/>
                <w:u w:val="single"/>
              </w:rPr>
              <w:t>ashish.kohli@gm.com</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David Caldwell</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GM Communications</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586-899-7861</w:t>
            </w:r>
          </w:p>
          <w:p>
            <w:pPr>
              <w:pStyle w:val="TableContents"/>
              <w:bidi w:val="0"/>
              <w:spacing w:lineRule="auto" w:line="288" w:before="0" w:after="0"/>
              <w:jc w:val="left"/>
              <w:rPr>
                <w:rFonts w:ascii="Overpass;sans-serif" w:hAnsi="Overpass;sans-serif"/>
                <w:b w:val="false"/>
                <w:color w:val="0563C1"/>
                <w:sz w:val="20"/>
                <w:u w:val="single"/>
              </w:rPr>
            </w:pPr>
            <w:r>
              <w:rPr>
                <w:rFonts w:ascii="Overpass;sans-serif" w:hAnsi="Overpass;sans-serif"/>
                <w:b w:val="false"/>
                <w:color w:val="0563C1"/>
                <w:sz w:val="20"/>
                <w:u w:val="single"/>
              </w:rPr>
              <w:t>david.caldwell@gm.com</w:t>
            </w:r>
          </w:p>
        </w:tc>
        <w:tc>
          <w:tcPr>
            <w:tcW w:w="2311"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0" w:after="0"/>
        <w:jc w:val="both"/>
        <w:rPr/>
      </w:pPr>
      <w:r>
        <w:rPr>
          <w:rFonts w:ascii="Overpass;sans-serif" w:hAnsi="Overpass;sans-serif"/>
          <w:b/>
          <w:i/>
          <w:color w:val="000000"/>
          <w:sz w:val="20"/>
        </w:rPr>
        <w:t>Cautionary Note on Forward-Looking Statements</w:t>
      </w:r>
      <w:r>
        <w:rPr>
          <w:rFonts w:ascii="Overpass;sans-serif" w:hAnsi="Overpass;sans-serif"/>
          <w:b w:val="false"/>
          <w:i/>
          <w:color w:val="000000"/>
          <w:sz w:val="20"/>
        </w:rPr>
        <w:t xml:space="preserve">: </w:t>
      </w:r>
      <w:r>
        <w:rPr>
          <w:rFonts w:ascii="Overpass;sans-serif" w:hAnsi="Overpass;sans-serif"/>
          <w:b w:val="false"/>
          <w:color w:val="000000"/>
          <w:sz w:val="20"/>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6705"/>
                <wp:effectExtent l="0" t="0" r="0" b="0"/>
                <wp:wrapNone/>
                <wp:docPr id="7" name="Frame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120"/>
        <w:jc w:val="both"/>
        <w:rPr>
          <w:rFonts w:ascii="Overpass;sans-serif" w:hAnsi="Overpass;sans-serif"/>
          <w:b/>
          <w:color w:val="000000"/>
          <w:sz w:val="22"/>
          <w:u w:val="single"/>
        </w:rPr>
      </w:pPr>
      <w:r>
        <w:rPr>
          <w:rFonts w:ascii="Overpass;sans-serif" w:hAnsi="Overpass;sans-serif"/>
          <w:b/>
          <w:color w:val="000000"/>
          <w:sz w:val="22"/>
          <w:u w:val="single"/>
        </w:rPr>
        <w:t>Guidance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Overpass;sans-serif" w:hAnsi="Overpass;sans-serif"/>
          <w:b w:val="false"/>
          <w:color w:val="000000"/>
          <w:sz w:val="18"/>
        </w:rPr>
      </w:pPr>
      <w:r>
        <w:rPr>
          <w:rFonts w:ascii="Overpass;sans-serif" w:hAnsi="Overpass;sans-serif"/>
          <w:b w:val="false"/>
          <w:color w:val="000000"/>
          <w:sz w:val="18"/>
        </w:rPr>
        <w:t>The following table reconciles expected Net income attributable to stockholders to expected EBIT-adjusted (dollars in billions):</w:t>
      </w:r>
    </w:p>
    <w:p>
      <w:pPr>
        <w:pStyle w:val="TextBody"/>
        <w:bidi w:val="0"/>
        <w:spacing w:before="0" w:after="0"/>
        <w:jc w:val="both"/>
        <w:rPr/>
      </w:pPr>
      <w:r>
        <w:rPr/>
      </w:r>
    </w:p>
    <w:tbl>
      <w:tblPr>
        <w:tblW w:w="7529" w:type="dxa"/>
        <w:jc w:val="left"/>
        <w:tblInd w:w="0" w:type="dxa"/>
        <w:tblLayout w:type="fixed"/>
        <w:tblCellMar>
          <w:top w:w="28" w:type="dxa"/>
          <w:left w:w="28" w:type="dxa"/>
          <w:bottom w:w="28" w:type="dxa"/>
          <w:right w:w="28" w:type="dxa"/>
        </w:tblCellMar>
      </w:tblPr>
      <w:tblGrid>
        <w:gridCol w:w="1451"/>
        <w:gridCol w:w="1273"/>
        <w:gridCol w:w="1280"/>
        <w:gridCol w:w="109"/>
        <w:gridCol w:w="395"/>
        <w:gridCol w:w="395"/>
        <w:gridCol w:w="395"/>
        <w:gridCol w:w="334"/>
        <w:gridCol w:w="334"/>
        <w:gridCol w:w="334"/>
        <w:gridCol w:w="358"/>
        <w:gridCol w:w="358"/>
        <w:gridCol w:w="513"/>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Year Ending December 31, 2026</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Updated(a)</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Previous</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income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$ 8.9-9.5</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$ 8.4-9.8</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2.0-2.4</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2.2-2.8</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Automotive 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(0.1)</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(0.1)</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verpass;sans-serif" w:hAnsi="Overpass;sans-serif"/>
                <w:b w:val="false"/>
                <w:color w:val="000000"/>
                <w:sz w:val="18"/>
              </w:rPr>
            </w:pPr>
            <w:r>
              <w:rPr>
                <w:rFonts w:ascii="Overpass;sans-serif" w:hAnsi="Overpass;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3.7 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3.5 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verpass;sans-serif" w:hAnsi="Overpass;sans-serif"/>
                <w:b w:val="false"/>
                <w:color w:val="000000"/>
                <w:sz w:val="18"/>
              </w:rPr>
            </w:pPr>
            <w:r>
              <w:rPr>
                <w:rFonts w:ascii="Overpass;sans-serif" w:hAnsi="Overpass;sans-serif"/>
                <w:b w:val="false"/>
                <w:color w:val="000000"/>
                <w:sz w:val="18"/>
              </w:rPr>
              <w:t>EBIT-adjusted</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$ 14.5-15.5</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$ 14.0-16.0</w:t>
            </w:r>
          </w:p>
        </w:tc>
      </w:tr>
    </w:tbl>
    <w:p>
      <w:pPr>
        <w:pStyle w:val="TextBody"/>
        <w:bidi w:val="0"/>
        <w:spacing w:lineRule="auto" w:line="288" w:before="0" w:after="0"/>
        <w:jc w:val="both"/>
        <w:rPr>
          <w:rFonts w:ascii="Overpass;sans-serif" w:hAnsi="Overpass;sans-serif"/>
          <w:b w:val="false"/>
          <w:color w:val="000000"/>
          <w:sz w:val="16"/>
        </w:rPr>
      </w:pPr>
      <w:r>
        <w:rPr>
          <w:rFonts w:ascii="Overpass;sans-serif" w:hAnsi="Overpass;sans-serif"/>
          <w:b w:val="false"/>
          <w:color w:val="000000"/>
          <w:sz w:val="16"/>
        </w:rPr>
        <w:t>__________</w:t>
      </w:r>
    </w:p>
    <w:p>
      <w:pPr>
        <w:pStyle w:val="TextBody"/>
        <w:bidi w:val="0"/>
        <w:spacing w:lineRule="auto" w:line="288" w:before="0" w:after="0"/>
        <w:ind w:left="0" w:right="0" w:hanging="360"/>
        <w:jc w:val="both"/>
        <w:rPr/>
      </w:pPr>
      <w:r>
        <w:rPr>
          <w:rFonts w:ascii="Overpass;sans-serif" w:hAnsi="Overpass;sans-serif"/>
          <w:b w:val="false"/>
          <w:color w:val="000000"/>
          <w:sz w:val="16"/>
        </w:rPr>
        <w:t>(a)Refer to the reconciliation of Net income (loss) attributable to stockholders to EBIT-adjusted and segment profit (loss) for adjustment details. These expected financial results do not include the potential impact of future adjustments related to special items</w:t>
      </w:r>
      <w:r>
        <w:rPr>
          <w:rFonts w:ascii="Arial;sans-serif" w:hAnsi="Arial;sans-serif"/>
          <w:b w:val="false"/>
          <w:color w:val="000000"/>
          <w:sz w:val="16"/>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Overpass;sans-serif" w:hAnsi="Overpass;sans-serif"/>
          <w:b w:val="false"/>
          <w:color w:val="000000"/>
          <w:sz w:val="18"/>
        </w:rPr>
      </w:pPr>
      <w:r>
        <w:rPr>
          <w:rFonts w:ascii="Overpass;sans-serif" w:hAnsi="Overpass;sans-serif"/>
          <w:b w:val="false"/>
          <w:color w:val="000000"/>
          <w:sz w:val="18"/>
        </w:rPr>
        <w:t>The following table reconciles expected EPS-diluted to expected EPS-diluted-adjusted:</w:t>
      </w:r>
    </w:p>
    <w:p>
      <w:pPr>
        <w:pStyle w:val="TextBody"/>
        <w:bidi w:val="0"/>
        <w:spacing w:before="0" w:after="0"/>
        <w:jc w:val="both"/>
        <w:rPr/>
      </w:pPr>
      <w:r>
        <w:rPr/>
      </w:r>
    </w:p>
    <w:tbl>
      <w:tblPr>
        <w:tblW w:w="7488" w:type="dxa"/>
        <w:jc w:val="left"/>
        <w:tblInd w:w="0" w:type="dxa"/>
        <w:tblLayout w:type="fixed"/>
        <w:tblCellMar>
          <w:top w:w="28" w:type="dxa"/>
          <w:left w:w="28" w:type="dxa"/>
          <w:bottom w:w="28" w:type="dxa"/>
          <w:right w:w="28" w:type="dxa"/>
        </w:tblCellMar>
      </w:tblPr>
      <w:tblGrid>
        <w:gridCol w:w="1223"/>
        <w:gridCol w:w="1072"/>
        <w:gridCol w:w="1079"/>
        <w:gridCol w:w="109"/>
        <w:gridCol w:w="109"/>
        <w:gridCol w:w="475"/>
        <w:gridCol w:w="475"/>
        <w:gridCol w:w="475"/>
        <w:gridCol w:w="334"/>
        <w:gridCol w:w="334"/>
        <w:gridCol w:w="334"/>
        <w:gridCol w:w="428"/>
        <w:gridCol w:w="428"/>
        <w:gridCol w:w="613"/>
      </w:tblGrid>
      <w:tr>
        <w:trPr/>
        <w:tc>
          <w:tcPr>
            <w:tcW w:w="122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Year Ending December 31, 2026</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Updated(a)</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Overpass;sans-serif" w:hAnsi="Overpass;sans-serif"/>
                <w:b/>
                <w:color w:val="000000"/>
                <w:sz w:val="16"/>
              </w:rPr>
            </w:pPr>
            <w:r>
              <w:rPr>
                <w:rFonts w:ascii="Overpass;sans-serif" w:hAnsi="Overpass;sans-serif"/>
                <w:b/>
                <w:color w:val="000000"/>
                <w:sz w:val="16"/>
              </w:rPr>
              <w:t>Previous</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$ 9.72-10.72</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$ 8.98-10.98</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3.03 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3.02 </w:t>
            </w:r>
          </w:p>
        </w:tc>
        <w:tc>
          <w:tcPr>
            <w:tcW w:w="6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EPS-diluted-adjusted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$ 12.75-13.75</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$ 12.00-14.00</w:t>
            </w:r>
          </w:p>
        </w:tc>
      </w:tr>
    </w:tbl>
    <w:p>
      <w:pPr>
        <w:pStyle w:val="TextBody"/>
        <w:bidi w:val="0"/>
        <w:spacing w:lineRule="auto" w:line="288" w:before="0" w:after="0"/>
        <w:jc w:val="both"/>
        <w:rPr>
          <w:rFonts w:ascii="Overpass;sans-serif" w:hAnsi="Overpass;sans-serif"/>
          <w:b w:val="false"/>
          <w:color w:val="000000"/>
          <w:sz w:val="16"/>
        </w:rPr>
      </w:pPr>
      <w:r>
        <w:rPr>
          <w:rFonts w:ascii="Overpass;sans-serif" w:hAnsi="Overpass;sans-serif"/>
          <w:b w:val="false"/>
          <w:color w:val="000000"/>
          <w:sz w:val="16"/>
        </w:rPr>
        <w:t>__________</w:t>
      </w:r>
    </w:p>
    <w:p>
      <w:pPr>
        <w:pStyle w:val="TextBody"/>
        <w:bidi w:val="0"/>
        <w:spacing w:lineRule="auto" w:line="288" w:before="0" w:after="0"/>
        <w:ind w:left="0" w:right="0" w:hanging="360"/>
        <w:jc w:val="both"/>
        <w:rPr>
          <w:rFonts w:ascii="Overpass;sans-serif" w:hAnsi="Overpass;sans-serif"/>
          <w:b w:val="false"/>
          <w:color w:val="000000"/>
          <w:sz w:val="16"/>
        </w:rPr>
      </w:pPr>
      <w:r>
        <w:rPr>
          <w:rFonts w:ascii="Overpass;sans-serif" w:hAnsi="Overpass;sans-serif"/>
          <w:b w:val="false"/>
          <w:color w:val="000000"/>
          <w:sz w:val="16"/>
        </w:rPr>
        <w:t>(a)Refer to the reconciliation of diluted earnings per common share to EPS-diluted-adjusted for adjustment details. These expected financial results do not include the potential impact of future adjustments related to special items.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Overpass;sans-serif" w:hAnsi="Overpass;sans-serif"/>
          <w:b w:val="false"/>
          <w:color w:val="000000"/>
          <w:sz w:val="18"/>
        </w:rPr>
      </w:pPr>
      <w:r>
        <w:rPr>
          <w:rFonts w:ascii="Overpass;sans-serif" w:hAnsi="Overpass;sans-serif"/>
          <w:b w:val="false"/>
          <w:color w:val="000000"/>
          <w:sz w:val="18"/>
        </w:rPr>
        <w:t>The following table reconciles expected automotive net cash provided by operating activities to expected adjusted automotive free cash flow (dollars in billions):</w:t>
      </w:r>
    </w:p>
    <w:p>
      <w:pPr>
        <w:pStyle w:val="TextBody"/>
        <w:bidi w:val="0"/>
        <w:spacing w:before="0" w:after="0"/>
        <w:jc w:val="both"/>
        <w:rPr/>
      </w:pPr>
      <w:r>
        <w:rPr/>
      </w:r>
    </w:p>
    <w:tbl>
      <w:tblPr>
        <w:tblW w:w="8445" w:type="dxa"/>
        <w:jc w:val="left"/>
        <w:tblInd w:w="0" w:type="dxa"/>
        <w:tblLayout w:type="fixed"/>
        <w:tblCellMar>
          <w:top w:w="28" w:type="dxa"/>
          <w:left w:w="28" w:type="dxa"/>
          <w:bottom w:w="28" w:type="dxa"/>
          <w:right w:w="28" w:type="dxa"/>
        </w:tblCellMar>
      </w:tblPr>
      <w:tblGrid>
        <w:gridCol w:w="1781"/>
        <w:gridCol w:w="1565"/>
        <w:gridCol w:w="1574"/>
        <w:gridCol w:w="109"/>
        <w:gridCol w:w="395"/>
        <w:gridCol w:w="395"/>
        <w:gridCol w:w="395"/>
        <w:gridCol w:w="334"/>
        <w:gridCol w:w="334"/>
        <w:gridCol w:w="334"/>
        <w:gridCol w:w="358"/>
        <w:gridCol w:w="358"/>
        <w:gridCol w:w="513"/>
      </w:tblGrid>
      <w:tr>
        <w:trPr/>
        <w:tc>
          <w:tcPr>
            <w:tcW w:w="178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Year Ending December 31, 2026</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Updated(a)</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Previous</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automotive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$ 17.3-20.3</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$ 15.4-19.4</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Less: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10.0-12.0</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10.0-12.0</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verpass;sans-serif" w:hAnsi="Overpass;sans-serif"/>
                <w:b w:val="false"/>
                <w:color w:val="000000"/>
                <w:sz w:val="18"/>
              </w:rPr>
            </w:pPr>
            <w:r>
              <w:rPr>
                <w:rFonts w:ascii="Overpass;sans-serif" w:hAnsi="Overpass;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4.2</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4.1 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verpass;sans-serif" w:hAnsi="Overpass;sans-serif"/>
                <w:b w:val="false"/>
                <w:color w:val="000000"/>
                <w:sz w:val="18"/>
              </w:rPr>
            </w:pPr>
            <w:r>
              <w:rPr>
                <w:rFonts w:ascii="Overpass;sans-serif" w:hAnsi="Overpass;sans-serif"/>
                <w:b w:val="false"/>
                <w:color w:val="000000"/>
                <w:sz w:val="18"/>
              </w:rPr>
              <w:t>Adjusted automotive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$ 11.5-12.5</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$ 9.5-11.5</w:t>
            </w:r>
          </w:p>
        </w:tc>
      </w:tr>
    </w:tbl>
    <w:p>
      <w:pPr>
        <w:pStyle w:val="TextBody"/>
        <w:bidi w:val="0"/>
        <w:spacing w:lineRule="auto" w:line="288" w:before="0" w:after="0"/>
        <w:jc w:val="both"/>
        <w:rPr>
          <w:rFonts w:ascii="Overpass;sans-serif" w:hAnsi="Overpass;sans-serif"/>
          <w:b w:val="false"/>
          <w:color w:val="000000"/>
          <w:sz w:val="16"/>
        </w:rPr>
      </w:pPr>
      <w:r>
        <w:rPr>
          <w:rFonts w:ascii="Overpass;sans-serif" w:hAnsi="Overpass;sans-serif"/>
          <w:b w:val="false"/>
          <w:color w:val="000000"/>
          <w:sz w:val="16"/>
        </w:rPr>
        <w:t>__________</w:t>
      </w:r>
    </w:p>
    <w:p>
      <w:pPr>
        <w:pStyle w:val="TextBody"/>
        <w:bidi w:val="0"/>
        <w:spacing w:lineRule="auto" w:line="288" w:before="0" w:after="0"/>
        <w:ind w:left="0" w:right="0" w:hanging="360"/>
        <w:jc w:val="both"/>
        <w:rPr>
          <w:rFonts w:ascii="Overpass;sans-serif" w:hAnsi="Overpass;sans-serif"/>
          <w:b w:val="false"/>
          <w:color w:val="000000"/>
          <w:sz w:val="16"/>
        </w:rPr>
      </w:pPr>
      <w:r>
        <w:rPr>
          <w:rFonts w:ascii="Overpass;sans-serif" w:hAnsi="Overpass;sans-serif"/>
          <w:b w:val="false"/>
          <w:color w:val="000000"/>
          <w:sz w:val="16"/>
        </w:rPr>
        <w:t>(a)These expected financial results do not include the potential impact of future adjustments related to special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6705"/>
                <wp:effectExtent l="0" t="0" r="0" b="0"/>
                <wp:wrapNone/>
                <wp:docPr id="8" name="Frame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Combining Income Statement Information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millions) (Unaudited)</w:t>
      </w:r>
    </w:p>
    <w:tbl>
      <w:tblPr>
        <w:tblW w:w="11954" w:type="dxa"/>
        <w:jc w:val="center"/>
        <w:tblInd w:w="0" w:type="dxa"/>
        <w:tblLayout w:type="fixed"/>
        <w:tblCellMar>
          <w:top w:w="28" w:type="dxa"/>
          <w:left w:w="28" w:type="dxa"/>
          <w:bottom w:w="28" w:type="dxa"/>
          <w:right w:w="28" w:type="dxa"/>
        </w:tblCellMar>
      </w:tblPr>
      <w:tblGrid>
        <w:gridCol w:w="573"/>
        <w:gridCol w:w="201"/>
        <w:gridCol w:w="202"/>
        <w:gridCol w:w="196"/>
        <w:gridCol w:w="646"/>
        <w:gridCol w:w="109"/>
        <w:gridCol w:w="109"/>
        <w:gridCol w:w="109"/>
        <w:gridCol w:w="109"/>
        <w:gridCol w:w="109"/>
        <w:gridCol w:w="109"/>
        <w:gridCol w:w="196"/>
        <w:gridCol w:w="421"/>
        <w:gridCol w:w="109"/>
        <w:gridCol w:w="109"/>
        <w:gridCol w:w="109"/>
        <w:gridCol w:w="109"/>
        <w:gridCol w:w="293"/>
        <w:gridCol w:w="608"/>
        <w:gridCol w:w="165"/>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421"/>
        <w:gridCol w:w="109"/>
        <w:gridCol w:w="109"/>
        <w:gridCol w:w="109"/>
        <w:gridCol w:w="109"/>
        <w:gridCol w:w="293"/>
        <w:gridCol w:w="608"/>
        <w:gridCol w:w="165"/>
        <w:gridCol w:w="109"/>
        <w:gridCol w:w="109"/>
        <w:gridCol w:w="109"/>
        <w:gridCol w:w="196"/>
        <w:gridCol w:w="646"/>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September 30, 2025</w:t>
            </w:r>
          </w:p>
        </w:tc>
        <w:tc>
          <w:tcPr>
            <w:tcW w:w="132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sales and revenue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net sales and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and other cost of 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interest, operating, and other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and other selling, 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costs and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income (loss)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and other non-operating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(loss) before income taxes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(income) attributable to noncontrolling interests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 attributable to stockholders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 attributable to common stockholders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tbl>
      <w:tblPr>
        <w:tblW w:w="12614" w:type="dxa"/>
        <w:jc w:val="left"/>
        <w:tblInd w:w="0" w:type="dxa"/>
        <w:tblLayout w:type="fixed"/>
        <w:tblCellMar>
          <w:top w:w="28" w:type="dxa"/>
          <w:left w:w="28" w:type="dxa"/>
          <w:bottom w:w="28" w:type="dxa"/>
          <w:right w:w="28" w:type="dxa"/>
        </w:tblCellMar>
      </w:tblPr>
      <w:tblGrid>
        <w:gridCol w:w="573"/>
        <w:gridCol w:w="201"/>
        <w:gridCol w:w="202"/>
        <w:gridCol w:w="196"/>
        <w:gridCol w:w="736"/>
        <w:gridCol w:w="109"/>
        <w:gridCol w:w="109"/>
        <w:gridCol w:w="109"/>
        <w:gridCol w:w="109"/>
        <w:gridCol w:w="109"/>
        <w:gridCol w:w="109"/>
        <w:gridCol w:w="196"/>
        <w:gridCol w:w="556"/>
        <w:gridCol w:w="109"/>
        <w:gridCol w:w="109"/>
        <w:gridCol w:w="109"/>
        <w:gridCol w:w="109"/>
        <w:gridCol w:w="293"/>
        <w:gridCol w:w="608"/>
        <w:gridCol w:w="165"/>
        <w:gridCol w:w="109"/>
        <w:gridCol w:w="109"/>
        <w:gridCol w:w="109"/>
        <w:gridCol w:w="196"/>
        <w:gridCol w:w="736"/>
        <w:gridCol w:w="109"/>
        <w:gridCol w:w="109"/>
        <w:gridCol w:w="109"/>
        <w:gridCol w:w="109"/>
        <w:gridCol w:w="196"/>
        <w:gridCol w:w="736"/>
        <w:gridCol w:w="109"/>
        <w:gridCol w:w="109"/>
        <w:gridCol w:w="109"/>
        <w:gridCol w:w="109"/>
        <w:gridCol w:w="196"/>
        <w:gridCol w:w="436"/>
        <w:gridCol w:w="109"/>
        <w:gridCol w:w="109"/>
        <w:gridCol w:w="109"/>
        <w:gridCol w:w="109"/>
        <w:gridCol w:w="196"/>
        <w:gridCol w:w="556"/>
        <w:gridCol w:w="109"/>
        <w:gridCol w:w="109"/>
        <w:gridCol w:w="109"/>
        <w:gridCol w:w="109"/>
        <w:gridCol w:w="293"/>
        <w:gridCol w:w="608"/>
        <w:gridCol w:w="165"/>
        <w:gridCol w:w="109"/>
        <w:gridCol w:w="109"/>
        <w:gridCol w:w="109"/>
        <w:gridCol w:w="196"/>
        <w:gridCol w:w="736"/>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1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Nine Months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Nine Months Ended September 30, 2025</w:t>
            </w:r>
          </w:p>
        </w:tc>
        <w:tc>
          <w:tcPr>
            <w:tcW w:w="141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sales and revenue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net sales and revenue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Automotive and other cost of sales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80"/>
              <w:jc w:val="right"/>
              <w:rPr/>
            </w:pPr>
            <w:r>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80"/>
              <w:jc w:val="righ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80"/>
              <w:jc w:val="righ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interest, operating, and 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and other 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costs and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income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and other non-operating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(loss) before income taxes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(income) attributable to noncontrolling interests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 attributable to stockholders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 attributable to common stockholders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w:t>
      </w:r>
    </w:p>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Certain columns and rows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6705"/>
                <wp:effectExtent l="0" t="0" r="0" b="0"/>
                <wp:wrapNone/>
                <wp:docPr id="9" name="Frame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Basic and Diluted Earnings per Share</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before="0" w:after="0"/>
        <w:jc w:val="right"/>
        <w:rPr/>
      </w:pPr>
      <w:r>
        <w:rPr/>
      </w:r>
    </w:p>
    <w:p>
      <w:pPr>
        <w:pStyle w:val="TextBody"/>
        <w:bidi w:val="0"/>
        <w:spacing w:lineRule="auto" w:line="288" w:before="0" w:after="0"/>
        <w:ind w:left="0" w:right="0" w:firstLine="180"/>
        <w:jc w:val="left"/>
        <w:rPr/>
      </w:pPr>
      <w:r>
        <w:rPr>
          <w:rFonts w:ascii="Arial;sans-serif" w:hAnsi="Arial;sans-serif"/>
          <w:b w:val="false"/>
          <w:color w:val="000000"/>
          <w:sz w:val="18"/>
        </w:rPr>
        <w:t>The following table summarizes basic and diluted ea</w:t>
      </w:r>
      <w:r>
        <w:rPr>
          <w:rFonts w:ascii="Arial;sans-serif" w:hAnsi="Arial;sans-serif"/>
          <w:b w:val="false"/>
          <w:color w:val="000000"/>
          <w:sz w:val="18"/>
          <w:shd w:fill="FFFFFF" w:val="clear"/>
        </w:rPr>
        <w:t>rnings pe</w:t>
      </w:r>
      <w:r>
        <w:rPr>
          <w:rFonts w:ascii="Arial;sans-serif" w:hAnsi="Arial;sans-serif"/>
          <w:b w:val="false"/>
          <w:color w:val="000000"/>
          <w:sz w:val="18"/>
        </w:rPr>
        <w:t xml:space="preserve">r share (in millions, except per share amounts): </w:t>
      </w:r>
    </w:p>
    <w:tbl>
      <w:tblPr>
        <w:tblW w:w="10205" w:type="dxa"/>
        <w:jc w:val="center"/>
        <w:tblInd w:w="0" w:type="dxa"/>
        <w:tblLayout w:type="fixed"/>
        <w:tblCellMar>
          <w:top w:w="28" w:type="dxa"/>
          <w:left w:w="28" w:type="dxa"/>
          <w:bottom w:w="28" w:type="dxa"/>
          <w:right w:w="28" w:type="dxa"/>
        </w:tblCellMar>
      </w:tblPr>
      <w:tblGrid>
        <w:gridCol w:w="1552"/>
        <w:gridCol w:w="1240"/>
        <w:gridCol w:w="1246"/>
        <w:gridCol w:w="289"/>
        <w:gridCol w:w="845"/>
        <w:gridCol w:w="149"/>
        <w:gridCol w:w="109"/>
        <w:gridCol w:w="109"/>
        <w:gridCol w:w="109"/>
        <w:gridCol w:w="289"/>
        <w:gridCol w:w="845"/>
        <w:gridCol w:w="149"/>
        <w:gridCol w:w="109"/>
        <w:gridCol w:w="109"/>
        <w:gridCol w:w="109"/>
        <w:gridCol w:w="289"/>
        <w:gridCol w:w="845"/>
        <w:gridCol w:w="149"/>
        <w:gridCol w:w="109"/>
        <w:gridCol w:w="109"/>
        <w:gridCol w:w="109"/>
        <w:gridCol w:w="285"/>
        <w:gridCol w:w="835"/>
        <w:gridCol w:w="217"/>
      </w:tblGrid>
      <w:tr>
        <w:trPr/>
        <w:tc>
          <w:tcPr>
            <w:tcW w:w="155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w:t>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4"/>
              </w:rPr>
            </w:pPr>
            <w:r>
              <w:rPr>
                <w:rFonts w:ascii="Arial;sans-serif" w:hAnsi="Arial;sans-serif"/>
                <w:b/>
                <w:color w:val="000000"/>
                <w:sz w:val="14"/>
              </w:rPr>
              <w:t>September 30, 2025</w:t>
            </w:r>
          </w:p>
        </w:tc>
      </w:tr>
      <w:tr>
        <w:trPr/>
        <w:tc>
          <w:tcPr>
            <w:tcW w:w="4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earnings per share</w:t>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6,007 </w:t>
            </w:r>
          </w:p>
        </w:tc>
        <w:tc>
          <w:tcPr>
            <w:tcW w:w="2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Adjustments(a)</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2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common stockholders</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6,510 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common share</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2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earnings per share</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common stockholders – diluted</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2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Potentially dilutive securities(b)</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35"/>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a $593 million return from the preferred shareholders related to the redemption of Cruise preferred shares from noncontrolling interest holders in the nine months ended September 30, 2025.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(b)Potentially dilutive securities attributable to Restricted Stock Units (RSUs) and Performance Stock Units (PSUs) at September 30, 2026 and outstanding stock options, PSUs, and RSUs at September 30, 2025 were excluded from the computation of diluted earnings per share (EPS) because the securities would have had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6705"/>
                <wp:effectExtent l="0" t="0" r="0" b="0"/>
                <wp:wrapNone/>
                <wp:docPr id="10" name="Frame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Combining Balance Sheet Information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millions, except per share amounts) (Unaudited)</w:t>
      </w:r>
    </w:p>
    <w:tbl>
      <w:tblPr>
        <w:tblW w:w="12576" w:type="dxa"/>
        <w:jc w:val="left"/>
        <w:tblInd w:w="0" w:type="dxa"/>
        <w:tblLayout w:type="fixed"/>
        <w:tblCellMar>
          <w:top w:w="28" w:type="dxa"/>
          <w:left w:w="28" w:type="dxa"/>
          <w:bottom w:w="28" w:type="dxa"/>
          <w:right w:w="28" w:type="dxa"/>
        </w:tblCellMar>
      </w:tblPr>
      <w:tblGrid>
        <w:gridCol w:w="691"/>
        <w:gridCol w:w="228"/>
        <w:gridCol w:w="207"/>
        <w:gridCol w:w="181"/>
        <w:gridCol w:w="646"/>
        <w:gridCol w:w="109"/>
        <w:gridCol w:w="109"/>
        <w:gridCol w:w="109"/>
        <w:gridCol w:w="109"/>
        <w:gridCol w:w="109"/>
        <w:gridCol w:w="109"/>
        <w:gridCol w:w="181"/>
        <w:gridCol w:w="646"/>
        <w:gridCol w:w="109"/>
        <w:gridCol w:w="109"/>
        <w:gridCol w:w="109"/>
        <w:gridCol w:w="109"/>
        <w:gridCol w:w="245"/>
        <w:gridCol w:w="672"/>
        <w:gridCol w:w="149"/>
        <w:gridCol w:w="109"/>
        <w:gridCol w:w="109"/>
        <w:gridCol w:w="109"/>
        <w:gridCol w:w="181"/>
        <w:gridCol w:w="646"/>
        <w:gridCol w:w="109"/>
        <w:gridCol w:w="109"/>
        <w:gridCol w:w="109"/>
        <w:gridCol w:w="109"/>
        <w:gridCol w:w="181"/>
        <w:gridCol w:w="646"/>
        <w:gridCol w:w="109"/>
        <w:gridCol w:w="109"/>
        <w:gridCol w:w="109"/>
        <w:gridCol w:w="109"/>
        <w:gridCol w:w="181"/>
        <w:gridCol w:w="376"/>
        <w:gridCol w:w="109"/>
        <w:gridCol w:w="109"/>
        <w:gridCol w:w="109"/>
        <w:gridCol w:w="109"/>
        <w:gridCol w:w="181"/>
        <w:gridCol w:w="646"/>
        <w:gridCol w:w="109"/>
        <w:gridCol w:w="109"/>
        <w:gridCol w:w="109"/>
        <w:gridCol w:w="109"/>
        <w:gridCol w:w="245"/>
        <w:gridCol w:w="672"/>
        <w:gridCol w:w="149"/>
        <w:gridCol w:w="109"/>
        <w:gridCol w:w="109"/>
        <w:gridCol w:w="109"/>
        <w:gridCol w:w="181"/>
        <w:gridCol w:w="646"/>
        <w:gridCol w:w="311"/>
      </w:tblGrid>
      <w:tr>
        <w:trPr/>
        <w:tc>
          <w:tcPr>
            <w:tcW w:w="6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1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1465" w:type="dxa"/>
            <w:gridSpan w:val="6"/>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Current Assets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Marketable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6,724 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and notes receivable, net(a)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13,054 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receivables, net(b)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45,266 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14,467 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108,767 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receivables,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44,384 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 net assets of nonconsolidated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Property, net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51,683 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Goodwill and intangible assets, net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Equipment on operating leases,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33,686 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22,960 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9,756 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assets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173,315 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172,517 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281,284 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LIABILITIES AND EQUITY</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Current Liabilities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 (principally trade)(a)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23,919 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Short-term debt and current portion of long-term debt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35,012 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Cruise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33,754 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93,342 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debt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15,591 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GM Financial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79,018 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Cruise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Postretirement benefits other than pensions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Pensions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21,151 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liabilities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73,645 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124,775 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218,116 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Equity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$0.01 par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19,928 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51,524 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(1,016)</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(1,075)</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61,119 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Equity</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63,168 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Equity</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151,017 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289,183 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143,297 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138,820 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281,284 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(a)Eliminations primarily include GM Financial accounts and notes receivable of $0.6 billion due from Automotive and Automotive accounts receivable of $0.2 billion primarily due from GM Financial at September 30, 2026; and GM Financial accounts and notes receivable of $0.5 billion due from Automotive; and Automotive accounts receivable of $0.1 billion primarily due from GM Financial at December 31, 2025.</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(b)Eliminations primarily related to GM Financial accounts receivable due from Automotive.</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(c)Primarily reclassification of GM Financial Cumulative Perpetual Preferred Stock, Series A, B, and C. The preferred stock is classified as noncontrolling interests in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6705"/>
                <wp:effectExtent l="0" t="0" r="0" b="0"/>
                <wp:wrapNone/>
                <wp:docPr id="11" name="Frame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Combining Cash Flow Information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millions) (Unaudited)</w:t>
      </w:r>
    </w:p>
    <w:tbl>
      <w:tblPr>
        <w:tblW w:w="12759" w:type="dxa"/>
        <w:jc w:val="left"/>
        <w:tblInd w:w="0" w:type="dxa"/>
        <w:tblLayout w:type="fixed"/>
        <w:tblCellMar>
          <w:top w:w="28" w:type="dxa"/>
          <w:left w:w="28" w:type="dxa"/>
          <w:bottom w:w="28" w:type="dxa"/>
          <w:right w:w="28" w:type="dxa"/>
        </w:tblCellMar>
      </w:tblPr>
      <w:tblGrid>
        <w:gridCol w:w="726"/>
        <w:gridCol w:w="229"/>
        <w:gridCol w:w="231"/>
        <w:gridCol w:w="181"/>
        <w:gridCol w:w="571"/>
        <w:gridCol w:w="109"/>
        <w:gridCol w:w="109"/>
        <w:gridCol w:w="109"/>
        <w:gridCol w:w="109"/>
        <w:gridCol w:w="181"/>
        <w:gridCol w:w="406"/>
        <w:gridCol w:w="109"/>
        <w:gridCol w:w="109"/>
        <w:gridCol w:w="109"/>
        <w:gridCol w:w="109"/>
        <w:gridCol w:w="181"/>
        <w:gridCol w:w="496"/>
        <w:gridCol w:w="109"/>
        <w:gridCol w:w="109"/>
        <w:gridCol w:w="109"/>
        <w:gridCol w:w="109"/>
        <w:gridCol w:w="277"/>
        <w:gridCol w:w="621"/>
        <w:gridCol w:w="168"/>
        <w:gridCol w:w="109"/>
        <w:gridCol w:w="109"/>
        <w:gridCol w:w="109"/>
        <w:gridCol w:w="181"/>
        <w:gridCol w:w="571"/>
        <w:gridCol w:w="109"/>
        <w:gridCol w:w="109"/>
        <w:gridCol w:w="109"/>
        <w:gridCol w:w="109"/>
        <w:gridCol w:w="181"/>
        <w:gridCol w:w="571"/>
        <w:gridCol w:w="109"/>
        <w:gridCol w:w="109"/>
        <w:gridCol w:w="109"/>
        <w:gridCol w:w="109"/>
        <w:gridCol w:w="181"/>
        <w:gridCol w:w="376"/>
        <w:gridCol w:w="109"/>
        <w:gridCol w:w="109"/>
        <w:gridCol w:w="109"/>
        <w:gridCol w:w="109"/>
        <w:gridCol w:w="181"/>
        <w:gridCol w:w="571"/>
        <w:gridCol w:w="109"/>
        <w:gridCol w:w="109"/>
        <w:gridCol w:w="109"/>
        <w:gridCol w:w="109"/>
        <w:gridCol w:w="277"/>
        <w:gridCol w:w="621"/>
        <w:gridCol w:w="168"/>
        <w:gridCol w:w="109"/>
        <w:gridCol w:w="109"/>
        <w:gridCol w:w="109"/>
        <w:gridCol w:w="181"/>
        <w:gridCol w:w="57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 September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2"/>
              </w:rPr>
            </w:pPr>
            <w:r>
              <w:rPr>
                <w:rFonts w:ascii="Arial;sans-serif" w:hAnsi="Arial;sans-serif"/>
                <w:b/>
                <w:color w:val="000000"/>
                <w:sz w:val="12"/>
              </w:rPr>
              <w:t>Combined</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impairment of Equipment on operating leases,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amortization, and impairment charges on Property,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Foreign currency remeasurement and transaction (gains)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Undistributed earnings of nonconsolidated affiliates,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Pension contributions and OPEB 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Pension and OPEB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(benefit) for deferred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 in other operating assets and liabilities(a)(c)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operating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(1,978)</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1,678 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(6,083)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Available-for-sale marketable securities, 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Available-for-sale marketable securities, liquidations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finance receivables(a)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(28,251)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Principal collections and recoveries on finance receivables(a)(b)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sale of finance receivables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leased vehicles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termination of leased vehicles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investing activities(b)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investing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(2,120)</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(12,473)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increase (decrease) in short-term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issuance of debt (original maturities greater than three months)(b)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Payments on debt (original maturities greater than three months)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Payments to purchase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(redemption) of subsidiary stock(b)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paid(c)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financing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cash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increase (decrease) in cash, cash equivalents, and restricted cash</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(a)Includes eliminations of $0.9 billion and $2.7 billion in the nine months ended September 30, 2026 and 2025 primarily driven by purchases/collections of wholesale finance receivables resulting from vehicles sold by GM to dealers that have arranged their inventory floor plan financing through GM Financial.</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(b)Eliminations include intercompany funding activity from Automotive and GM Financial to Cruise in the nine months ended September 30, 2025.</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(c)Eliminations include dividends issued by GM Financial to Automotive in the nine months ended September 30, 2026 and 2025.</w:t>
      </w:r>
    </w:p>
    <w:p>
      <w:pPr>
        <w:pStyle w:val="TextBody"/>
        <w:bidi w:val="0"/>
        <w:spacing w:lineRule="auto" w:line="268" w:before="0" w:after="0"/>
        <w:jc w:val="left"/>
        <w:rPr>
          <w:rFonts w:ascii="Arial;sans-serif" w:hAnsi="Arial;sans-serif"/>
          <w:b w:val="false"/>
          <w:color w:val="000000"/>
          <w:sz w:val="12"/>
        </w:rPr>
      </w:pPr>
      <w:r>
        <w:rPr>
          <w:rFonts w:ascii="Arial;sans-serif" w:hAnsi="Arial;sans-serif"/>
          <w:b w:val="false"/>
          <w:color w:val="000000"/>
          <w:sz w:val="12"/>
        </w:rPr>
        <w:t xml:space="preserve">Note: Certain intercompany transactions that are eliminated in consolidation are presented on a net basis.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12" name="Frame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ind w:left="0" w:right="0" w:firstLine="180"/>
        <w:jc w:val="left"/>
        <w:rPr>
          <w:rFonts w:ascii="Arial;sans-serif" w:hAnsi="Arial;sans-serif"/>
          <w:b w:val="false"/>
          <w:color w:val="000000"/>
          <w:sz w:val="18"/>
        </w:rPr>
      </w:pPr>
      <w:r>
        <w:rPr>
          <w:rFonts w:ascii="Arial;sans-serif" w:hAnsi="Arial;sans-serif"/>
          <w:b w:val="false"/>
          <w:color w:val="000000"/>
          <w:sz w:val="18"/>
        </w:rPr>
        <w:t xml:space="preserve">The following tables summarize key financial information (dollars in millions): </w:t>
      </w:r>
    </w:p>
    <w:tbl>
      <w:tblPr>
        <w:tblW w:w="11376" w:type="dxa"/>
        <w:jc w:val="center"/>
        <w:tblInd w:w="0" w:type="dxa"/>
        <w:tblLayout w:type="fixed"/>
        <w:tblCellMar>
          <w:top w:w="28" w:type="dxa"/>
          <w:left w:w="28" w:type="dxa"/>
          <w:bottom w:w="28" w:type="dxa"/>
          <w:right w:w="28" w:type="dxa"/>
        </w:tblCellMar>
      </w:tblPr>
      <w:tblGrid>
        <w:gridCol w:w="471"/>
        <w:gridCol w:w="229"/>
        <w:gridCol w:w="231"/>
        <w:gridCol w:w="181"/>
        <w:gridCol w:w="646"/>
        <w:gridCol w:w="109"/>
        <w:gridCol w:w="109"/>
        <w:gridCol w:w="109"/>
        <w:gridCol w:w="109"/>
        <w:gridCol w:w="181"/>
        <w:gridCol w:w="571"/>
        <w:gridCol w:w="109"/>
        <w:gridCol w:w="109"/>
        <w:gridCol w:w="109"/>
        <w:gridCol w:w="109"/>
        <w:gridCol w:w="181"/>
        <w:gridCol w:w="406"/>
        <w:gridCol w:w="109"/>
        <w:gridCol w:w="109"/>
        <w:gridCol w:w="109"/>
        <w:gridCol w:w="109"/>
        <w:gridCol w:w="207"/>
        <w:gridCol w:w="464"/>
        <w:gridCol w:w="125"/>
        <w:gridCol w:w="109"/>
        <w:gridCol w:w="109"/>
        <w:gridCol w:w="109"/>
        <w:gridCol w:w="181"/>
        <w:gridCol w:w="646"/>
        <w:gridCol w:w="109"/>
        <w:gridCol w:w="109"/>
        <w:gridCol w:w="109"/>
        <w:gridCol w:w="109"/>
        <w:gridCol w:w="181"/>
        <w:gridCol w:w="406"/>
        <w:gridCol w:w="109"/>
        <w:gridCol w:w="109"/>
        <w:gridCol w:w="109"/>
        <w:gridCol w:w="109"/>
        <w:gridCol w:w="181"/>
        <w:gridCol w:w="571"/>
        <w:gridCol w:w="109"/>
        <w:gridCol w:w="109"/>
        <w:gridCol w:w="109"/>
        <w:gridCol w:w="109"/>
        <w:gridCol w:w="277"/>
        <w:gridCol w:w="621"/>
        <w:gridCol w:w="168"/>
        <w:gridCol w:w="109"/>
        <w:gridCol w:w="109"/>
        <w:gridCol w:w="109"/>
        <w:gridCol w:w="181"/>
        <w:gridCol w:w="646"/>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Three Months Ended September 30, 2026</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(loss)(a)(b)(c)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Three Months Ended September 30, 2025</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(loss)(a)(b)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Nine Months Ended September 30, 2026</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(loss)(a)(b)(c)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Nine Months Ended September 30, 2025</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(loss)(a)(b)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(a)Includes Automotive China joint ventures (Automotive China JVs) equity income (loss) of $32 million and $280 million in the three and nine months ended September 30, 2026 and $80 million and $197 million in the three and nine months ended September 30, 2025.</w:t>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(b)Equity income (loss) related to Ultium Cells Holdings LLC, an equally owned joint venture with LG Energy Solution, is presented in Automotive and other cost of sales as this entity has historically been integral to the operations of our business by providing battery cells for our electric vehicles (EVs). Equity income (loss) related to Ultium Cells Holdings LLC was insignificant in the three and nine months ended September 30, 2026 and $213 million and $465 million in the three and nine months ended September 30, 2025.</w:t>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(c)Equity income (loss) in GMNA includes gains from the sale of an equity investment in the three and nine months ended September 30, 2026 and impacts of impairment charges for EV strategic realignment in the nine months ended September 30, 2026.</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6705"/>
                <wp:effectExtent l="0" t="0" r="0" b="0"/>
                <wp:wrapNone/>
                <wp:docPr id="13" name="Frame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 xml:space="preserve">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 xml:space="preserve">EBIT-adjusted </w:t>
      </w:r>
      <w:r>
        <w:rPr>
          <w:rFonts w:ascii="Arial;sans-serif" w:hAnsi="Arial;sans-serif"/>
          <w:b w:val="false"/>
          <w:i/>
          <w:color w:val="000000"/>
          <w:sz w:val="18"/>
        </w:rPr>
        <w:t xml:space="preserve">(Most comparable GAAP measure: Net income attributable to stockholders) </w:t>
      </w:r>
      <w:r>
        <w:rPr>
          <w:rFonts w:ascii="Arial;sans-serif" w:hAnsi="Arial;sans-serif"/>
          <w:b w:val="false"/>
          <w:color w:val="000000"/>
          <w:sz w:val="18"/>
        </w:rPr>
        <w:t>EBIT-adjusted is presented net of noncontrolling interests and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r>
        <w:rPr>
          <w:color w:val="000000"/>
        </w:rPr>
        <w:t xml:space="preserv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EPS-diluted-adjusted</w:t>
      </w:r>
      <w:r>
        <w:rPr>
          <w:color w:val="000000"/>
        </w:rPr>
        <w:t xml:space="preserve"> </w:t>
      </w:r>
      <w:r>
        <w:rPr>
          <w:rFonts w:ascii="Arial;sans-serif" w:hAnsi="Arial;sans-serif"/>
          <w:b w:val="false"/>
          <w:i/>
          <w:color w:val="000000"/>
          <w:sz w:val="18"/>
        </w:rPr>
        <w:t xml:space="preserve">(Most comparable GAAP measure: Diluted earnings per common share) </w:t>
      </w:r>
      <w:r>
        <w:rPr>
          <w:rFonts w:ascii="Arial;sans-serif" w:hAnsi="Arial;sans-serif"/>
          <w:b w:val="false"/>
          <w:color w:val="000000"/>
          <w:sz w:val="18"/>
        </w:rPr>
        <w:t>EPS-diluted-adjusted is used by management and can be 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ETR-adjusted</w:t>
      </w:r>
      <w:r>
        <w:rPr>
          <w:color w:val="000000"/>
        </w:rPr>
        <w:t xml:space="preserve"> </w:t>
      </w:r>
      <w:r>
        <w:rPr>
          <w:rFonts w:ascii="Arial;sans-serif" w:hAnsi="Arial;sans-serif"/>
          <w:b w:val="false"/>
          <w:i/>
          <w:color w:val="000000"/>
          <w:sz w:val="18"/>
        </w:rPr>
        <w:t>(Most comparable GAAP measure: Effective tax rate)</w:t>
      </w:r>
      <w:r>
        <w:rPr>
          <w:color w:val="000000"/>
        </w:rPr>
        <w:t xml:space="preserve"> </w:t>
      </w:r>
      <w:r>
        <w:rPr>
          <w:rFonts w:ascii="Arial;sans-serif" w:hAnsi="Arial;sans-serif"/>
          <w:b w:val="false"/>
          <w:color w:val="000000"/>
          <w:sz w:val="18"/>
        </w:rPr>
        <w:t>ETR-adjusted is used by management and can be used 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w:t>
      </w:r>
      <w:r>
        <w:rPr>
          <w:color w:val="000000"/>
        </w:rPr>
        <w:t xml:space="preserv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ROIC-adjusted</w:t>
      </w:r>
      <w:r>
        <w:rPr>
          <w:color w:val="000000"/>
        </w:rPr>
        <w:t xml:space="preserve"> </w:t>
      </w:r>
      <w:r>
        <w:rPr>
          <w:rFonts w:ascii="Arial;sans-serif" w:hAnsi="Arial;sans-serif"/>
          <w:b w:val="false"/>
          <w:i/>
          <w:color w:val="000000"/>
          <w:sz w:val="18"/>
        </w:rPr>
        <w:t>(Most comparable GAAP measure: Return on equity)</w:t>
      </w:r>
      <w:r>
        <w:rPr>
          <w:color w:val="000000"/>
        </w:rPr>
        <w:t xml:space="preserve"> </w:t>
      </w:r>
      <w:r>
        <w:rPr>
          <w:rFonts w:ascii="Arial;sans-serif" w:hAnsi="Arial;sans-serif"/>
          <w:b w:val="false"/>
          <w:color w:val="000000"/>
          <w:sz w:val="18"/>
        </w:rPr>
        <w:t>ROIC-adjusted is used by management and can be used by investors to review our 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Adjusted automotive free cash flow</w:t>
      </w:r>
      <w:r>
        <w:rPr>
          <w:color w:val="000000"/>
        </w:rPr>
        <w:t xml:space="preserve"> </w:t>
      </w:r>
      <w:r>
        <w:rPr>
          <w:rFonts w:ascii="Arial;sans-serif" w:hAnsi="Arial;sans-serif"/>
          <w:b w:val="false"/>
          <w:i/>
          <w:color w:val="000000"/>
          <w:sz w:val="18"/>
        </w:rPr>
        <w:t>(Most comparable GAAP measure: Net automotive cash provided by operating activities)</w:t>
      </w:r>
      <w:r>
        <w:rPr>
          <w:color w:val="000000"/>
        </w:rPr>
        <w:t xml:space="preserve"> </w:t>
      </w:r>
      <w:r>
        <w:rPr>
          <w:rFonts w:ascii="Arial;sans-serif" w:hAnsi="Arial;sans-serif"/>
          <w:b w:val="false"/>
          <w:color w:val="000000"/>
          <w:sz w:val="18"/>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starting with automotive operating cash flow from operations. We subtract capital expenditures, add the imputed cash effects of third-party payments made on our behalf for inventory banking, and subtract the cash effects when the banked inventory is consumed. The result is then adjusted for management actions, which can include voluntary events such as discretionary contributions to employee benefit plans or nonrecurring specific events such as a closure of a facility that are considered special for EBIT-adjusted purposes.</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6705"/>
                <wp:effectExtent l="0" t="0" r="0" b="0"/>
                <wp:wrapNone/>
                <wp:docPr id="14" name="Frame1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The following table reconciles Net income (loss) attributable to stockholders to EBIT-adjusted and segment profit (loss) (dollars in millions):</w:t>
      </w:r>
    </w:p>
    <w:tbl>
      <w:tblPr>
        <w:tblW w:w="10205" w:type="dxa"/>
        <w:jc w:val="left"/>
        <w:tblInd w:w="0" w:type="dxa"/>
        <w:tblLayout w:type="fixed"/>
        <w:tblCellMar>
          <w:top w:w="28" w:type="dxa"/>
          <w:left w:w="28" w:type="dxa"/>
          <w:bottom w:w="28" w:type="dxa"/>
          <w:right w:w="28" w:type="dxa"/>
        </w:tblCellMar>
      </w:tblPr>
      <w:tblGrid>
        <w:gridCol w:w="1185"/>
        <w:gridCol w:w="1017"/>
        <w:gridCol w:w="1019"/>
        <w:gridCol w:w="333"/>
        <w:gridCol w:w="976"/>
        <w:gridCol w:w="174"/>
        <w:gridCol w:w="109"/>
        <w:gridCol w:w="109"/>
        <w:gridCol w:w="109"/>
        <w:gridCol w:w="333"/>
        <w:gridCol w:w="976"/>
        <w:gridCol w:w="174"/>
        <w:gridCol w:w="109"/>
        <w:gridCol w:w="109"/>
        <w:gridCol w:w="109"/>
        <w:gridCol w:w="304"/>
        <w:gridCol w:w="1041"/>
        <w:gridCol w:w="157"/>
        <w:gridCol w:w="109"/>
        <w:gridCol w:w="109"/>
        <w:gridCol w:w="109"/>
        <w:gridCol w:w="327"/>
        <w:gridCol w:w="959"/>
        <w:gridCol w:w="249"/>
      </w:tblGrid>
      <w:tr>
        <w:trPr/>
        <w:tc>
          <w:tcPr>
            <w:tcW w:w="118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stockholders</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6,007 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 interest expense</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2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Automotive interest income </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EV strategic realignment(a)</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 restructuring actions(b)</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 matters(c)</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strategic actions(d)</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EBIT-adjusted</w:t>
            </w:r>
          </w:p>
        </w:tc>
        <w:tc>
          <w:tcPr>
            <w:tcW w:w="13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4,106 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9,903 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segments </w:t>
            </w:r>
          </w:p>
        </w:tc>
        <w:tc>
          <w:tcPr>
            <w:tcW w:w="1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 North America (GMNA)</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 International (GMI)</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Cruise </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 Financial(e)</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segments</w:t>
            </w:r>
          </w:p>
        </w:tc>
        <w:tc>
          <w:tcPr>
            <w:tcW w:w="13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3,536 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10,587 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eliminations(f)</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EBIT-adjusted</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4,106 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9,903 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(a)These adjustments were excluded because they relate to our strategic realignment of our EV capacity and manufacturing footprint, including Ultium's strategic realignment.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(b)These adjustments were excluded because they relate to restructuring activities associated with our operations in China, including an other-than-temporary impairment and restructuring charges recorded in equity earnings associated with our Automotive China JVs.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(c)These adjustments were excluded because they relate to investigations and litigation associated with our former OnStar Smart Driver product.</w:t>
      </w:r>
    </w:p>
    <w:p>
      <w:pPr>
        <w:pStyle w:val="TextBody"/>
        <w:bidi w:val="0"/>
        <w:spacing w:lineRule="auto" w:line="268" w:before="0" w:after="0"/>
        <w:ind w:left="0" w:right="0" w:hanging="360"/>
        <w:jc w:val="both"/>
        <w:rPr>
          <w:rFonts w:ascii="Arial;sans-serif" w:hAnsi="Arial;sans-serif"/>
          <w:b w:val="false"/>
          <w:color w:val="000000"/>
          <w:sz w:val="16"/>
        </w:rPr>
      </w:pPr>
      <w:r>
        <w:rPr>
          <w:rFonts w:ascii="Arial;sans-serif" w:hAnsi="Arial;sans-serif"/>
          <w:b w:val="false"/>
          <w:color w:val="000000"/>
          <w:sz w:val="16"/>
        </w:rPr>
        <w:t>(d)These adjustments were excluded because they relate to restructuring and strategic actions associated with employee separations, autonomous and assisted driving, manufacturing operations in Colombia and Ecuador, and the GM headquarters relocation.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(e)GM Financial amounts represent EBT-adjusted.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(f)GM's automotive interest income and interest expense, corporate expenditures, legacy costs from the Opel/Vauxhall Business (primarily pension costs), and certain revenues and expenses that are not part of a reportable segment are recorded centrally in Corporate.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both"/>
        <w:rPr/>
      </w:pPr>
      <w:r>
        <w:rPr>
          <w:rFonts w:ascii="Arial;sans-serif" w:hAnsi="Arial;sans-serif"/>
          <w:b w:val="false"/>
          <w:color w:val="000000"/>
          <w:sz w:val="18"/>
        </w:rPr>
        <w:t>The following table reconciles diluted earnin</w:t>
      </w:r>
      <w:r>
        <w:rPr>
          <w:rFonts w:ascii="Arial;sans-serif" w:hAnsi="Arial;sans-serif"/>
          <w:b w:val="false"/>
          <w:color w:val="000000"/>
          <w:sz w:val="18"/>
          <w:shd w:fill="FFFFFF" w:val="clear"/>
        </w:rPr>
        <w:t>gs pe</w:t>
      </w:r>
      <w:r>
        <w:rPr>
          <w:rFonts w:ascii="Arial;sans-serif" w:hAnsi="Arial;sans-serif"/>
          <w:b w:val="false"/>
          <w:color w:val="000000"/>
          <w:sz w:val="18"/>
        </w:rPr>
        <w:t>r common share to EPS-diluted-adjusted (dollars in millions, except per share amounts):</w:t>
      </w:r>
    </w:p>
    <w:tbl>
      <w:tblPr>
        <w:tblW w:w="11368" w:type="dxa"/>
        <w:jc w:val="center"/>
        <w:tblInd w:w="0" w:type="dxa"/>
        <w:tblLayout w:type="fixed"/>
        <w:tblCellMar>
          <w:top w:w="28" w:type="dxa"/>
          <w:left w:w="28" w:type="dxa"/>
          <w:bottom w:w="28" w:type="dxa"/>
          <w:right w:w="28" w:type="dxa"/>
        </w:tblCellMar>
      </w:tblPr>
      <w:tblGrid>
        <w:gridCol w:w="1166"/>
        <w:gridCol w:w="426"/>
        <w:gridCol w:w="26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2025</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 Share</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on adjustments(b)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adjustments(c)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from preferred shareholders(d)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EPS-diluted-adjusted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(a)Refer to the reconciliation of Net income (loss) attributable to stockholders to EBIT-adjusted and segment profit (loss) for adjustment details.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 tax effect of each adjustment is determined based on the tax laws and valuation allowance status of the jurisdiction to which the adjustment relates.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(c)These adjustments consist of tax benefits from a change to a subsidiary's legal entity tax classification.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(d)This adjustment consists of a return from the preferred shareholders related to the redemption of Cruise preferred shares from noncontrolling interest holders in the nine months ended September 30, 2025.</w:t>
      </w:r>
    </w:p>
    <w:p>
      <w:pPr>
        <w:pStyle w:val="TextBody"/>
        <w:bidi w:val="0"/>
        <w:spacing w:before="0" w:after="0"/>
        <w:jc w:val="both"/>
        <w:rPr/>
      </w:pPr>
      <w:r>
        <w:rPr/>
      </w:r>
    </w:p>
    <w:p>
      <w:pPr>
        <w:pStyle w:val="TextBody"/>
        <w:bidi w:val="0"/>
        <w:spacing w:lineRule="auto" w:line="288" w:before="100" w:after="283"/>
        <w:ind w:left="0" w:right="0" w:firstLine="180"/>
        <w:jc w:val="both"/>
        <w:rPr>
          <w:rFonts w:ascii="Arial;sans-serif" w:hAnsi="Arial;sans-serif"/>
          <w:b w:val="false"/>
          <w:color w:val="000000"/>
          <w:sz w:val="18"/>
        </w:rPr>
      </w:pPr>
      <w:r>
        <w:rPr>
          <w:rFonts w:ascii="Arial;sans-serif" w:hAnsi="Arial;sans-serif"/>
          <w:b w:val="false"/>
          <w:color w:val="000000"/>
          <w:sz w:val="18"/>
        </w:rPr>
        <w:t>The following table reconciles our effective tax rate to ETR-adjusted (dollars in millions):</w:t>
      </w:r>
    </w:p>
    <w:tbl>
      <w:tblPr>
        <w:tblW w:w="15533" w:type="dxa"/>
        <w:jc w:val="center"/>
        <w:tblInd w:w="0" w:type="dxa"/>
        <w:tblLayout w:type="fixed"/>
        <w:tblCellMar>
          <w:top w:w="28" w:type="dxa"/>
          <w:left w:w="28" w:type="dxa"/>
          <w:bottom w:w="28" w:type="dxa"/>
          <w:right w:w="28" w:type="dxa"/>
        </w:tblCellMar>
      </w:tblPr>
      <w:tblGrid>
        <w:gridCol w:w="587"/>
        <w:gridCol w:w="400"/>
        <w:gridCol w:w="259"/>
        <w:gridCol w:w="211"/>
        <w:gridCol w:w="616"/>
        <w:gridCol w:w="109"/>
        <w:gridCol w:w="109"/>
        <w:gridCol w:w="109"/>
        <w:gridCol w:w="109"/>
        <w:gridCol w:w="211"/>
        <w:gridCol w:w="466"/>
        <w:gridCol w:w="109"/>
        <w:gridCol w:w="109"/>
        <w:gridCol w:w="109"/>
        <w:gridCol w:w="109"/>
        <w:gridCol w:w="255"/>
        <w:gridCol w:w="256"/>
        <w:gridCol w:w="326"/>
        <w:gridCol w:w="109"/>
        <w:gridCol w:w="109"/>
        <w:gridCol w:w="109"/>
        <w:gridCol w:w="211"/>
        <w:gridCol w:w="616"/>
        <w:gridCol w:w="109"/>
        <w:gridCol w:w="109"/>
        <w:gridCol w:w="109"/>
        <w:gridCol w:w="109"/>
        <w:gridCol w:w="211"/>
        <w:gridCol w:w="466"/>
        <w:gridCol w:w="109"/>
        <w:gridCol w:w="109"/>
        <w:gridCol w:w="109"/>
        <w:gridCol w:w="109"/>
        <w:gridCol w:w="284"/>
        <w:gridCol w:w="227"/>
        <w:gridCol w:w="326"/>
        <w:gridCol w:w="109"/>
        <w:gridCol w:w="109"/>
        <w:gridCol w:w="109"/>
        <w:gridCol w:w="211"/>
        <w:gridCol w:w="721"/>
        <w:gridCol w:w="109"/>
        <w:gridCol w:w="109"/>
        <w:gridCol w:w="109"/>
        <w:gridCol w:w="109"/>
        <w:gridCol w:w="211"/>
        <w:gridCol w:w="616"/>
        <w:gridCol w:w="109"/>
        <w:gridCol w:w="109"/>
        <w:gridCol w:w="109"/>
        <w:gridCol w:w="109"/>
        <w:gridCol w:w="255"/>
        <w:gridCol w:w="256"/>
        <w:gridCol w:w="326"/>
        <w:gridCol w:w="109"/>
        <w:gridCol w:w="109"/>
        <w:gridCol w:w="109"/>
        <w:gridCol w:w="211"/>
        <w:gridCol w:w="616"/>
        <w:gridCol w:w="109"/>
        <w:gridCol w:w="109"/>
        <w:gridCol w:w="109"/>
        <w:gridCol w:w="109"/>
        <w:gridCol w:w="211"/>
        <w:gridCol w:w="616"/>
        <w:gridCol w:w="109"/>
        <w:gridCol w:w="327"/>
        <w:gridCol w:w="511"/>
        <w:gridCol w:w="375"/>
      </w:tblGrid>
      <w:tr>
        <w:trPr/>
        <w:tc>
          <w:tcPr>
            <w:tcW w:w="58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adjustments(b)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ETR-adjusted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(a)Refer to the reconciliation of Net income (loss) attributable to stockholders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(b)Refer to the reconciliation of diluted earnings (loss) per common share to EPS-diluted adjusted for adjustment details.</w:t>
      </w:r>
    </w:p>
    <w:p>
      <w:pPr>
        <w:pStyle w:val="TextBody"/>
        <w:bidi w:val="0"/>
        <w:spacing w:before="0" w:after="0"/>
        <w:jc w:val="both"/>
        <w:rPr/>
      </w:pPr>
      <w:r>
        <w:rPr/>
      </w:r>
    </w:p>
    <w:p>
      <w:pPr>
        <w:pStyle w:val="TextBody"/>
        <w:bidi w:val="0"/>
        <w:spacing w:lineRule="auto" w:line="288" w:before="100" w:after="283"/>
        <w:ind w:left="0" w:right="0" w:firstLine="180"/>
        <w:jc w:val="both"/>
        <w:rPr>
          <w:rFonts w:ascii="Arial;sans-serif" w:hAnsi="Arial;sans-serif"/>
          <w:b w:val="false"/>
          <w:color w:val="000000"/>
          <w:sz w:val="18"/>
        </w:rPr>
      </w:pPr>
      <w:r>
        <w:rPr>
          <w:rFonts w:ascii="Arial;sans-serif" w:hAnsi="Arial;sans-serif"/>
          <w:b w:val="false"/>
          <w:color w:val="000000"/>
          <w:sz w:val="18"/>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tbl>
      <w:tblPr>
        <w:tblW w:w="6416" w:type="dxa"/>
        <w:jc w:val="center"/>
        <w:tblInd w:w="0" w:type="dxa"/>
        <w:tblLayout w:type="fixed"/>
        <w:tblCellMar>
          <w:top w:w="28" w:type="dxa"/>
          <w:left w:w="28" w:type="dxa"/>
          <w:bottom w:w="28" w:type="dxa"/>
          <w:right w:w="28" w:type="dxa"/>
        </w:tblCellMar>
      </w:tblPr>
      <w:tblGrid>
        <w:gridCol w:w="1191"/>
        <w:gridCol w:w="1046"/>
        <w:gridCol w:w="1048"/>
        <w:gridCol w:w="293"/>
        <w:gridCol w:w="710"/>
        <w:gridCol w:w="376"/>
        <w:gridCol w:w="109"/>
        <w:gridCol w:w="109"/>
        <w:gridCol w:w="109"/>
        <w:gridCol w:w="289"/>
        <w:gridCol w:w="702"/>
        <w:gridCol w:w="434"/>
      </w:tblGrid>
      <w:tr>
        <w:trPr/>
        <w:tc>
          <w:tcPr>
            <w:tcW w:w="119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Four Quarters Ended</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stockholders</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equity(a)</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equity of noncontrolling interests where the corresponding earnings (loss) are included in Net income attributable to stockholders.</w:t>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left"/>
        <w:rPr>
          <w:rFonts w:ascii="Arial;sans-serif" w:hAnsi="Arial;sans-serif"/>
          <w:b w:val="false"/>
          <w:color w:val="000000"/>
          <w:sz w:val="18"/>
        </w:rPr>
      </w:pPr>
      <w:r>
        <w:rPr>
          <w:rFonts w:ascii="Arial;sans-serif" w:hAnsi="Arial;sans-serif"/>
          <w:b w:val="false"/>
          <w:color w:val="000000"/>
          <w:sz w:val="18"/>
        </w:rPr>
        <w:t xml:space="preserve">The following table summarizes the calculation of ROIC-adjusted (dollars in billions): </w:t>
      </w:r>
    </w:p>
    <w:tbl>
      <w:tblPr>
        <w:tblW w:w="10179" w:type="dxa"/>
        <w:jc w:val="center"/>
        <w:tblInd w:w="0" w:type="dxa"/>
        <w:tblLayout w:type="fixed"/>
        <w:tblCellMar>
          <w:top w:w="28" w:type="dxa"/>
          <w:left w:w="28" w:type="dxa"/>
          <w:bottom w:w="28" w:type="dxa"/>
          <w:right w:w="28" w:type="dxa"/>
        </w:tblCellMar>
      </w:tblPr>
      <w:tblGrid>
        <w:gridCol w:w="2368"/>
        <w:gridCol w:w="2081"/>
        <w:gridCol w:w="2090"/>
        <w:gridCol w:w="347"/>
        <w:gridCol w:w="841"/>
        <w:gridCol w:w="446"/>
        <w:gridCol w:w="109"/>
        <w:gridCol w:w="109"/>
        <w:gridCol w:w="109"/>
        <w:gridCol w:w="341"/>
        <w:gridCol w:w="827"/>
        <w:gridCol w:w="511"/>
      </w:tblGrid>
      <w:tr>
        <w:trPr/>
        <w:tc>
          <w:tcPr>
            <w:tcW w:w="236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Four Quarters Ended</w:t>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EBIT-adjusted(a)</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equity(b)</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Average automotive debt and interest liabilities (excluding finance leases)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Average automotive net pension and OPEB liability</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Average automotive net income tax asset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ROIC-adjusted average net assets</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67.1 </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ROIC-adjusted</w:t>
            </w:r>
          </w:p>
        </w:tc>
        <w:tc>
          <w:tcPr>
            <w:tcW w:w="11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4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5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(a)Refer to the reconciliation of Net income (loss) attributable to stockholders to EBIT-adjusted and segment profit (loss) for adjustment details.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equity of noncontrolling interests where the corresponding earnings (loss) are included in EBIT-adjusted.</w:t>
      </w:r>
    </w:p>
    <w:p>
      <w:pPr>
        <w:pStyle w:val="TextBody"/>
        <w:bidi w:val="0"/>
        <w:spacing w:before="0" w:after="0"/>
        <w:ind w:left="0" w:right="0" w:firstLine="180"/>
        <w:jc w:val="center"/>
        <w:rPr/>
      </w:pPr>
      <w:r>
        <w:rPr/>
      </w:r>
    </w:p>
    <w:p>
      <w:pPr>
        <w:pStyle w:val="TextBody"/>
        <w:bidi w:val="0"/>
        <w:spacing w:lineRule="auto" w:line="288" w:before="0" w:after="0"/>
        <w:ind w:left="0" w:right="0" w:firstLine="180"/>
        <w:jc w:val="left"/>
        <w:rPr>
          <w:rFonts w:ascii="Arial;sans-serif" w:hAnsi="Arial;sans-serif"/>
          <w:b w:val="false"/>
          <w:color w:val="000000"/>
          <w:sz w:val="18"/>
        </w:rPr>
      </w:pPr>
      <w:r>
        <w:rPr>
          <w:rFonts w:ascii="Arial;sans-serif" w:hAnsi="Arial;sans-serif"/>
          <w:b w:val="false"/>
          <w:color w:val="000000"/>
          <w:sz w:val="18"/>
        </w:rPr>
        <w:t>The following table reconciles Net automotive cash provided by operating activities to adjusted automotive free cash flow (dollars in millions):</w:t>
      </w:r>
    </w:p>
    <w:tbl>
      <w:tblPr>
        <w:tblW w:w="10205" w:type="dxa"/>
        <w:jc w:val="left"/>
        <w:tblInd w:w="0" w:type="dxa"/>
        <w:tblLayout w:type="fixed"/>
        <w:tblCellMar>
          <w:top w:w="28" w:type="dxa"/>
          <w:left w:w="28" w:type="dxa"/>
          <w:bottom w:w="28" w:type="dxa"/>
          <w:right w:w="28" w:type="dxa"/>
        </w:tblCellMar>
      </w:tblPr>
      <w:tblGrid>
        <w:gridCol w:w="1266"/>
        <w:gridCol w:w="1067"/>
        <w:gridCol w:w="1071"/>
        <w:gridCol w:w="321"/>
        <w:gridCol w:w="941"/>
        <w:gridCol w:w="168"/>
        <w:gridCol w:w="109"/>
        <w:gridCol w:w="109"/>
        <w:gridCol w:w="109"/>
        <w:gridCol w:w="321"/>
        <w:gridCol w:w="941"/>
        <w:gridCol w:w="168"/>
        <w:gridCol w:w="109"/>
        <w:gridCol w:w="109"/>
        <w:gridCol w:w="109"/>
        <w:gridCol w:w="294"/>
        <w:gridCol w:w="1008"/>
        <w:gridCol w:w="152"/>
        <w:gridCol w:w="109"/>
        <w:gridCol w:w="109"/>
        <w:gridCol w:w="109"/>
        <w:gridCol w:w="291"/>
        <w:gridCol w:w="996"/>
        <w:gridCol w:w="219"/>
      </w:tblGrid>
      <w:tr>
        <w:trPr/>
        <w:tc>
          <w:tcPr>
            <w:tcW w:w="126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September 30,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automotive cash provided by operating activities</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Imputed operating cash outflows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Add(less): EV strategic realignment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Restructuring and other strategic actions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China restructuring actions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Legal matters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automotive free cash flow</w:t>
            </w:r>
          </w:p>
        </w:tc>
        <w:tc>
          <w:tcPr>
            <w:tcW w:w="3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5,882 </w:t>
            </w:r>
          </w:p>
        </w:tc>
        <w:tc>
          <w:tcPr>
            <w:tcW w:w="1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4,201 </w:t>
            </w:r>
          </w:p>
        </w:tc>
        <w:tc>
          <w:tcPr>
            <w:tcW w:w="1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12,184 </w:t>
            </w:r>
          </w:p>
        </w:tc>
        <w:tc>
          <w:tcPr>
            <w:tcW w:w="1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7,840 </w:t>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hanging="360"/>
        <w:jc w:val="both"/>
        <w:rPr>
          <w:rFonts w:ascii="Arial;sans-serif" w:hAnsi="Arial;sans-serif"/>
          <w:b/>
          <w:color w:val="000000"/>
          <w:sz w:val="18"/>
        </w:rPr>
      </w:pPr>
      <w:r>
        <w:rPr>
          <w:rFonts w:ascii="Arial;sans-serif" w:hAnsi="Arial;sans-serif"/>
          <w:b/>
          <w:color w:val="000000"/>
          <w:sz w:val="18"/>
        </w:rPr>
        <w:t>Vehicle Sales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 xml:space="preserve">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nine months ended September 30, 2026, 27.6% of GM's wholesale vehicle sales volume was generated outside the U.S. The following table summarizes wholesale vehicle sales by our Automotive operations (vehicles in thousands): </w:t>
      </w:r>
    </w:p>
    <w:tbl>
      <w:tblPr>
        <w:tblW w:w="10205" w:type="dxa"/>
        <w:jc w:val="left"/>
        <w:tblInd w:w="0" w:type="dxa"/>
        <w:tblLayout w:type="fixed"/>
        <w:tblCellMar>
          <w:top w:w="28" w:type="dxa"/>
          <w:left w:w="28" w:type="dxa"/>
          <w:bottom w:w="28" w:type="dxa"/>
          <w:right w:w="28" w:type="dxa"/>
        </w:tblCellMar>
      </w:tblPr>
      <w:tblGrid>
        <w:gridCol w:w="239"/>
        <w:gridCol w:w="210"/>
        <w:gridCol w:w="212"/>
        <w:gridCol w:w="528"/>
        <w:gridCol w:w="528"/>
        <w:gridCol w:w="520"/>
        <w:gridCol w:w="332"/>
        <w:gridCol w:w="1576"/>
        <w:gridCol w:w="109"/>
        <w:gridCol w:w="109"/>
        <w:gridCol w:w="109"/>
        <w:gridCol w:w="402"/>
        <w:gridCol w:w="402"/>
        <w:gridCol w:w="387"/>
        <w:gridCol w:w="386"/>
        <w:gridCol w:w="316"/>
        <w:gridCol w:w="524"/>
        <w:gridCol w:w="524"/>
        <w:gridCol w:w="526"/>
        <w:gridCol w:w="308"/>
        <w:gridCol w:w="308"/>
        <w:gridCol w:w="109"/>
        <w:gridCol w:w="109"/>
        <w:gridCol w:w="109"/>
        <w:gridCol w:w="109"/>
        <w:gridCol w:w="109"/>
        <w:gridCol w:w="109"/>
        <w:gridCol w:w="308"/>
        <w:gridCol w:w="308"/>
        <w:gridCol w:w="109"/>
        <w:gridCol w:w="109"/>
        <w:gridCol w:w="162"/>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c>
          <w:tcPr>
            <w:tcW w:w="3840" w:type="dxa"/>
            <w:gridSpan w:val="16"/>
            <w:tcBorders/>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4"/>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16" w:type="dxa"/>
            <w:tcBorders/>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2266" w:type="dxa"/>
            <w:gridSpan w:val="13"/>
            <w:tcBorders/>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GMNA</w:t>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GMI</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including but not limited to courtesy transportation vehicles previously used by dealers that were sold to the end consumer. Total vehicle sales data includes all sales by joint ventures on a total vehicle basis, not based on our percentage ownership interest in the joint venture, including vehicle sales of non-GM trademarked vehicles,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The following table summarizes industry and GM total vehicle sales and GM's related competitive position by geographic region (vehicles in thousands):</w:t>
      </w:r>
    </w:p>
    <w:tbl>
      <w:tblPr>
        <w:tblW w:w="14235" w:type="dxa"/>
        <w:jc w:val="left"/>
        <w:tblInd w:w="0" w:type="dxa"/>
        <w:tblLayout w:type="fixed"/>
        <w:tblCellMar>
          <w:top w:w="28" w:type="dxa"/>
          <w:left w:w="28" w:type="dxa"/>
          <w:bottom w:w="28" w:type="dxa"/>
          <w:right w:w="28" w:type="dxa"/>
        </w:tblCellMar>
      </w:tblPr>
      <w:tblGrid>
        <w:gridCol w:w="532"/>
        <w:gridCol w:w="244"/>
        <w:gridCol w:w="245"/>
        <w:gridCol w:w="323"/>
        <w:gridCol w:w="323"/>
        <w:gridCol w:w="256"/>
        <w:gridCol w:w="109"/>
        <w:gridCol w:w="109"/>
        <w:gridCol w:w="109"/>
        <w:gridCol w:w="277"/>
        <w:gridCol w:w="279"/>
        <w:gridCol w:w="126"/>
        <w:gridCol w:w="109"/>
        <w:gridCol w:w="109"/>
        <w:gridCol w:w="109"/>
        <w:gridCol w:w="258"/>
        <w:gridCol w:w="208"/>
        <w:gridCol w:w="341"/>
        <w:gridCol w:w="109"/>
        <w:gridCol w:w="109"/>
        <w:gridCol w:w="109"/>
        <w:gridCol w:w="323"/>
        <w:gridCol w:w="323"/>
        <w:gridCol w:w="256"/>
        <w:gridCol w:w="109"/>
        <w:gridCol w:w="109"/>
        <w:gridCol w:w="109"/>
        <w:gridCol w:w="277"/>
        <w:gridCol w:w="279"/>
        <w:gridCol w:w="126"/>
        <w:gridCol w:w="109"/>
        <w:gridCol w:w="109"/>
        <w:gridCol w:w="109"/>
        <w:gridCol w:w="258"/>
        <w:gridCol w:w="208"/>
        <w:gridCol w:w="341"/>
        <w:gridCol w:w="109"/>
        <w:gridCol w:w="109"/>
        <w:gridCol w:w="109"/>
        <w:gridCol w:w="323"/>
        <w:gridCol w:w="323"/>
        <w:gridCol w:w="256"/>
        <w:gridCol w:w="109"/>
        <w:gridCol w:w="109"/>
        <w:gridCol w:w="109"/>
        <w:gridCol w:w="278"/>
        <w:gridCol w:w="278"/>
        <w:gridCol w:w="126"/>
        <w:gridCol w:w="109"/>
        <w:gridCol w:w="109"/>
        <w:gridCol w:w="109"/>
        <w:gridCol w:w="258"/>
        <w:gridCol w:w="208"/>
        <w:gridCol w:w="341"/>
        <w:gridCol w:w="109"/>
        <w:gridCol w:w="109"/>
        <w:gridCol w:w="109"/>
        <w:gridCol w:w="323"/>
        <w:gridCol w:w="323"/>
        <w:gridCol w:w="256"/>
        <w:gridCol w:w="109"/>
        <w:gridCol w:w="109"/>
        <w:gridCol w:w="109"/>
        <w:gridCol w:w="556"/>
        <w:gridCol w:w="126"/>
        <w:gridCol w:w="327"/>
        <w:gridCol w:w="466"/>
        <w:gridCol w:w="394"/>
      </w:tblGrid>
      <w:tr>
        <w:trPr/>
        <w:tc>
          <w:tcPr>
            <w:tcW w:w="5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North America</w:t>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North America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Asia/Pacific, Middle East, and Africa</w:t>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China(a)</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Asia/Pacific, Middle East, and Africa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36,342 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South America</w:t>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South America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 GM markets</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52,288 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55,093 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Europe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Worldwide(b)</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23,066 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67,704 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United States</w:t>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Trucks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Crossovers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United States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China(a)</w:t>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SGMS</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SGMW</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6"/>
        </w:rPr>
        <w:t>__________</w:t>
      </w:r>
      <w:r>
        <w:rPr>
          <w:color w:val="000000"/>
        </w:rPr>
        <w:t xml:space="preserv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sales by the Automotive China JVs: SAIC General Motors Sales Co., Ltd. (SGMS) and SAIC GM Wuling Automobile Co., Ltd. (SGMW).</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(b)Cuba, Iran, North Korea, and Sudan have been subject to broad economic sanctions. Accordingly, these countries are excluded from industry sales data and corresponding calculation of market share.</w:t>
      </w:r>
    </w:p>
    <w:p>
      <w:pPr>
        <w:pStyle w:val="TextBody"/>
        <w:bidi w:val="0"/>
        <w:spacing w:before="0" w:after="0"/>
        <w:jc w:val="both"/>
        <w:rPr/>
      </w:pPr>
      <w:r>
        <w:rPr/>
      </w:r>
    </w:p>
    <w:p>
      <w:pPr>
        <w:pStyle w:val="TextBody"/>
        <w:bidi w:val="0"/>
        <w:spacing w:lineRule="auto" w:line="288" w:before="100" w:after="283"/>
        <w:ind w:left="0" w:right="0" w:firstLine="180"/>
        <w:jc w:val="both"/>
        <w:rPr>
          <w:rFonts w:ascii="Arial;sans-serif" w:hAnsi="Arial;sans-serif"/>
          <w:b w:val="false"/>
          <w:color w:val="000000"/>
          <w:sz w:val="18"/>
        </w:rPr>
      </w:pPr>
      <w:r>
        <w:rPr>
          <w:rFonts w:ascii="Arial;sans-serif" w:hAnsi="Arial;sans-serif"/>
          <w:b w:val="false"/>
          <w:color w:val="000000"/>
          <w:sz w:val="18"/>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tbl>
      <w:tblPr>
        <w:tblW w:w="10205" w:type="dxa"/>
        <w:jc w:val="left"/>
        <w:tblInd w:w="0" w:type="dxa"/>
        <w:tblLayout w:type="fixed"/>
        <w:tblCellMar>
          <w:top w:w="28" w:type="dxa"/>
          <w:left w:w="28" w:type="dxa"/>
          <w:bottom w:w="28" w:type="dxa"/>
          <w:right w:w="28" w:type="dxa"/>
        </w:tblCellMar>
      </w:tblPr>
      <w:tblGrid>
        <w:gridCol w:w="1187"/>
        <w:gridCol w:w="1012"/>
        <w:gridCol w:w="984"/>
        <w:gridCol w:w="344"/>
        <w:gridCol w:w="320"/>
        <w:gridCol w:w="797"/>
        <w:gridCol w:w="135"/>
        <w:gridCol w:w="135"/>
        <w:gridCol w:w="135"/>
        <w:gridCol w:w="344"/>
        <w:gridCol w:w="320"/>
        <w:gridCol w:w="797"/>
        <w:gridCol w:w="109"/>
        <w:gridCol w:w="109"/>
        <w:gridCol w:w="109"/>
        <w:gridCol w:w="344"/>
        <w:gridCol w:w="320"/>
        <w:gridCol w:w="797"/>
        <w:gridCol w:w="129"/>
        <w:gridCol w:w="129"/>
        <w:gridCol w:w="129"/>
        <w:gridCol w:w="331"/>
        <w:gridCol w:w="301"/>
        <w:gridCol w:w="888"/>
      </w:tblGrid>
      <w:tr>
        <w:trPr/>
        <w:tc>
          <w:tcPr>
            <w:tcW w:w="118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r>
      <w:tr>
        <w:trPr/>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GMNA</w:t>
            </w:r>
          </w:p>
        </w:tc>
        <w:tc>
          <w:tcPr>
            <w:tcW w:w="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GMI</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fleet sales</w:t>
            </w:r>
          </w:p>
        </w:tc>
        <w:tc>
          <w:tcPr>
            <w:tcW w:w="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Fleet sales as a percentage of total vehicle sales</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183"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3183"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Overpas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6915</Words>
  <Characters>38255</Characters>
  <CharactersWithSpaces>44188</CharactersWithSpaces>
  <Paragraphs>2810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