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530104.xml.htm"/>
      <w:bookmarkStart w:id="1" w:name="kswkform4_17855301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Anderson Sterling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WOODWARD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M/C: 482-22381-1003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DETROIT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General Motors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95,951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108,673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48,820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89.4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59,853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95,951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95,951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95,951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converts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do not have a conversion or exercise price. Upon vesting, they will be settled in shares of the Company's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Of these RSUs, one-half vested on July 29, 2026, and the remaining one-half will vest on July 29,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do not have a date on which they will expire. They will be fully settled on July 29,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Tia Y. Turk, Attorney-In-Fact for Mr. Anderson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8943" TargetMode="External"/><Relationship Id="rId5" Type="http://schemas.openxmlformats.org/officeDocument/2006/relationships/hyperlink" Target="http://www.sec.gov/cgi-bin/browse-edgar?action=getcompany&amp;CIK=0001467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676</Words>
  <Characters>3587</Characters>
  <CharactersWithSpaces>4171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