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794122.xml.htm"/>
      <w:bookmarkStart w:id="1" w:name="kswkform4_17857941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DIXTON GRANT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 WOODWARD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 482-22381-1003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DETROIT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48265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General Motors Co</w:t>
              </w:r>
            </w:hyperlink>
            <w:r>
              <w:rPr/>
              <w:t xml:space="preserve"> [ </w:t>
            </w:r>
            <w:r>
              <w:rPr>
                <w:rFonts w:ascii="Times;serif" w:hAnsi="Times;serif"/>
                <w:color w:val="0000FF"/>
                <w:sz w:val="24"/>
                <w:shd w:fill="FFFFFF" w:val="clear"/>
              </w:rPr>
              <w:t>GM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Vice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79,132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130,048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35,056</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88.4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94,992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88.44</w:t>
            </w:r>
            <w:r>
              <w:rPr>
                <w:rFonts w:ascii="Times;serif" w:hAnsi="Times;serif"/>
                <w:color w:val="008000"/>
                <w:position w:val="7"/>
                <w:sz w:val="16"/>
                <w:sz w:val="20"/>
                <w:shd w:fill="FFFFFF" w:val="clear"/>
              </w:rPr>
              <w:t>(2)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54,992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79,132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79,132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converts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in Column 4 is the weighted average selling price of the shares. The shares were sold in multiple transactions at prices from $87.31 to $90.04, inclusive. The Reporting Person undertakes to provide to the SEC, GM and any security holder, upon request, full information regarding the number of shares sold at each price point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do not have a conversion or exercise price. Upon vesting, they will be settled in shares of the Company's common stock on a one-for-basis.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Of these RSUs, one-half vested on July 30, 2025, and the remaining one-half vested on July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do not have a date on which they will expire. They have vested and settled on July 30,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Tia Y. Turk, Attorney-In-Fact for Mr. Dixton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66710" TargetMode="External"/><Relationship Id="rId5" Type="http://schemas.openxmlformats.org/officeDocument/2006/relationships/hyperlink" Target="http://www.sec.gov/cgi-bin/browse-edgar?action=getcompany&amp;CIK=00014678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749</Words>
  <Characters>3944</Characters>
  <CharactersWithSpaces>4592</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