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spacing w:after="0" w:line="29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UNITED STATES SECURITIES AND EXCHANGE COMMISSION</w:t>
      </w:r>
    </w:p>
    <w:p>
      <w:pPr>
        <w:spacing w:after="0" w:line="4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7"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8"/>
          <w:szCs w:val="18"/>
          <w:color w:val="auto"/>
        </w:rPr>
        <w:t>___________________</w:t>
      </w:r>
    </w:p>
    <w:p>
      <w:pPr>
        <w:spacing w:after="0" w:line="1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61"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8"/>
          <w:szCs w:val="18"/>
          <w:color w:val="auto"/>
        </w:rPr>
        <w:t>___________________</w:t>
      </w:r>
    </w:p>
    <w:p>
      <w:pPr>
        <w:spacing w:after="0" w:line="20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2, 2026</w:t>
      </w:r>
    </w:p>
    <w:p>
      <w:pPr>
        <w:spacing w:after="0" w:line="31"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8"/>
          <w:szCs w:val="18"/>
          <w:color w:val="auto"/>
        </w:rPr>
        <w:t>___________________</w:t>
      </w:r>
    </w:p>
    <w:p>
      <w:pPr>
        <w:spacing w:after="0" w:line="6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43"/>
          <w:szCs w:val="43"/>
          <w:b w:val="1"/>
          <w:bCs w:val="1"/>
          <w:color w:val="auto"/>
        </w:rPr>
        <w:t>GENERAL MOTORS COMPANY</w:t>
      </w:r>
    </w:p>
    <w:p>
      <w:pPr>
        <w:spacing w:after="0" w:line="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6"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8"/>
          <w:szCs w:val="18"/>
          <w:color w:val="auto"/>
        </w:rPr>
        <w:t>___________________</w:t>
      </w:r>
    </w:p>
    <w:p>
      <w:pPr>
        <w:sectPr>
          <w:pgSz w:w="11900" w:h="16838" w:orient="portrait"/>
          <w:cols w:equalWidth="0" w:num="1">
            <w:col w:w="9019"/>
          </w:cols>
          <w:pgMar w:left="1440" w:top="1440" w:right="1440" w:bottom="1440" w:gutter="0" w:footer="0" w:header="0"/>
        </w:sectPr>
      </w:pPr>
    </w:p>
    <w:p>
      <w:pPr>
        <w:spacing w:after="0" w:line="135" w:lineRule="exact"/>
        <w:rPr>
          <w:sz w:val="24"/>
          <w:szCs w:val="24"/>
          <w:color w:val="auto"/>
        </w:rPr>
      </w:pPr>
    </w:p>
    <w:p>
      <w:pPr>
        <w:jc w:val="center"/>
        <w:ind w:left="36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6" w:lineRule="exact"/>
        <w:rPr>
          <w:sz w:val="24"/>
          <w:szCs w:val="24"/>
          <w:color w:val="auto"/>
        </w:rPr>
      </w:pPr>
    </w:p>
    <w:p>
      <w:pPr>
        <w:jc w:val="center"/>
        <w:ind w:left="360"/>
        <w:spacing w:after="0"/>
        <w:rPr>
          <w:sz w:val="20"/>
          <w:szCs w:val="20"/>
          <w:color w:val="auto"/>
        </w:rPr>
      </w:pPr>
      <w:r>
        <w:rPr>
          <w:rFonts w:ascii="Times New Roman" w:cs="Times New Roman" w:eastAsia="Times New Roman" w:hAnsi="Times New Roman"/>
          <w:sz w:val="17"/>
          <w:szCs w:val="17"/>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001-34960</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27-0756180</w:t>
      </w:r>
    </w:p>
    <w:p>
      <w:pPr>
        <w:spacing w:after="0" w:line="6" w:lineRule="exact"/>
        <w:rPr>
          <w:sz w:val="24"/>
          <w:szCs w:val="24"/>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93" w:lineRule="exact"/>
        <w:rPr>
          <w:sz w:val="24"/>
          <w:szCs w:val="24"/>
          <w:color w:val="auto"/>
        </w:rPr>
      </w:pPr>
    </w:p>
    <w:p>
      <w:pPr>
        <w:sectPr>
          <w:pgSz w:w="11900" w:h="16838" w:orient="portrait"/>
          <w:cols w:equalWidth="0" w:num="3">
            <w:col w:w="3520" w:space="160"/>
            <w:col w:w="2000" w:space="280"/>
            <w:col w:w="3059"/>
          </w:cols>
          <w:pgMar w:left="1440" w:top="1440" w:right="1440" w:bottom="1440" w:gutter="0" w:footer="0" w:header="0"/>
          <w:type w:val="continuous"/>
        </w:sectPr>
      </w:pPr>
    </w:p>
    <w:p>
      <w:pPr>
        <w:ind w:left="1400" w:hanging="960"/>
        <w:spacing w:after="0" w:line="255" w:lineRule="auto"/>
        <w:rPr>
          <w:sz w:val="20"/>
          <w:szCs w:val="20"/>
          <w:color w:val="auto"/>
        </w:rPr>
      </w:pPr>
      <w:r>
        <w:rPr>
          <w:rFonts w:ascii="Times New Roman" w:cs="Times New Roman" w:eastAsia="Times New Roman" w:hAnsi="Times New Roman"/>
          <w:sz w:val="18"/>
          <w:szCs w:val="18"/>
          <w:b w:val="1"/>
          <w:bCs w:val="1"/>
          <w:color w:val="auto"/>
        </w:rPr>
        <w:t>1240 Woodward Avenue</w:t>
      </w:r>
      <w:r>
        <w:rPr>
          <w:sz w:val="20"/>
          <w:szCs w:val="20"/>
          <w:color w:val="auto"/>
        </w:rPr>
        <w:t xml:space="preserve"> </w:t>
      </w:r>
      <w:r>
        <w:rPr>
          <w:rFonts w:ascii="Times New Roman" w:cs="Times New Roman" w:eastAsia="Times New Roman" w:hAnsi="Times New Roman"/>
          <w:sz w:val="18"/>
          <w:szCs w:val="18"/>
          <w:b w:val="1"/>
          <w:bCs w:val="1"/>
          <w:color w:val="auto"/>
        </w:rPr>
        <w:t xml:space="preserve">Detroit </w:t>
      </w: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Michigan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48265-3000</w:t>
      </w:r>
    </w:p>
    <w:p>
      <w:pPr>
        <w:spacing w:after="0" w:line="1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8"/>
          <w:szCs w:val="18"/>
          <w:color w:val="auto"/>
        </w:rPr>
        <w:t>(Zip Code)</w:t>
      </w:r>
    </w:p>
    <w:p>
      <w:pPr>
        <w:spacing w:after="0" w:line="219" w:lineRule="exact"/>
        <w:rPr>
          <w:sz w:val="24"/>
          <w:szCs w:val="24"/>
          <w:color w:val="auto"/>
        </w:rPr>
      </w:pPr>
    </w:p>
    <w:p>
      <w:pPr>
        <w:sectPr>
          <w:pgSz w:w="11900" w:h="16838" w:orient="portrait"/>
          <w:cols w:equalWidth="0" w:num="3">
            <w:col w:w="4260" w:space="100"/>
            <w:col w:w="1520" w:space="720"/>
            <w:col w:w="2419"/>
          </w:cols>
          <w:pgMar w:left="1440" w:top="1440" w:right="1440" w:bottom="1440" w:gutter="0" w:footer="0" w:header="0"/>
          <w:type w:val="continuous"/>
        </w:sectPr>
      </w:pP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(313) 667-1500</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10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9"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8"/>
          <w:szCs w:val="18"/>
          <w:color w:val="auto"/>
        </w:rPr>
        <w:t>___________________</w:t>
      </w:r>
    </w:p>
    <w:p>
      <w:pPr>
        <w:spacing w:after="0" w:line="130" w:lineRule="exact"/>
        <w:rPr>
          <w:sz w:val="24"/>
          <w:szCs w:val="24"/>
          <w:color w:val="auto"/>
        </w:rPr>
      </w:pPr>
    </w:p>
    <w:p>
      <w:pPr>
        <w:ind w:left="300" w:right="339"/>
        <w:spacing w:after="0" w:line="280" w:lineRule="auto"/>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11" w:lineRule="exact"/>
        <w:rPr>
          <w:sz w:val="24"/>
          <w:szCs w:val="24"/>
          <w:color w:val="auto"/>
        </w:rPr>
      </w:pPr>
    </w:p>
    <w:p>
      <w:pPr>
        <w:ind w:left="780" w:hanging="427"/>
        <w:spacing w:after="0"/>
        <w:tabs>
          <w:tab w:leader="none" w:pos="7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80" w:lineRule="exact"/>
        <w:rPr>
          <w:rFonts w:ascii="MS PGothic" w:cs="MS PGothic" w:eastAsia="MS PGothic" w:hAnsi="MS PGothic"/>
          <w:sz w:val="18"/>
          <w:szCs w:val="18"/>
          <w:color w:val="auto"/>
        </w:rPr>
      </w:pPr>
    </w:p>
    <w:p>
      <w:pPr>
        <w:ind w:left="780" w:hanging="427"/>
        <w:spacing w:after="0"/>
        <w:tabs>
          <w:tab w:leader="none" w:pos="7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121" w:lineRule="exact"/>
        <w:rPr>
          <w:rFonts w:ascii="MS PGothic" w:cs="MS PGothic" w:eastAsia="MS PGothic" w:hAnsi="MS PGothic"/>
          <w:sz w:val="18"/>
          <w:szCs w:val="18"/>
          <w:color w:val="auto"/>
        </w:rPr>
      </w:pPr>
    </w:p>
    <w:p>
      <w:pPr>
        <w:ind w:left="780" w:hanging="427"/>
        <w:spacing w:after="0"/>
        <w:tabs>
          <w:tab w:leader="none" w:pos="7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121" w:lineRule="exact"/>
        <w:rPr>
          <w:rFonts w:ascii="MS PGothic" w:cs="MS PGothic" w:eastAsia="MS PGothic" w:hAnsi="MS PGothic"/>
          <w:sz w:val="18"/>
          <w:szCs w:val="18"/>
          <w:color w:val="auto"/>
        </w:rPr>
      </w:pPr>
    </w:p>
    <w:p>
      <w:pPr>
        <w:ind w:left="2640" w:right="999" w:hanging="2287"/>
        <w:spacing w:after="0" w:line="362" w:lineRule="auto"/>
        <w:tabs>
          <w:tab w:leader="none" w:pos="78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Pre-commencement communications pursuant to Rule 13e-4(c) under the Exchange Act (17 CFR 240.13e-4(c)) Securities registered pursuant to Section 12(b) of the Act:</w:t>
      </w:r>
    </w:p>
    <w:p>
      <w:pPr>
        <w:spacing w:after="0" w:line="63" w:lineRule="exact"/>
        <w:rPr>
          <w:sz w:val="24"/>
          <w:szCs w:val="24"/>
          <w:color w:val="auto"/>
        </w:rPr>
      </w:pPr>
    </w:p>
    <w:tbl>
      <w:tblPr>
        <w:tblLayout w:type="fixed"/>
        <w:tblInd w:w="900" w:type="dxa"/>
        <w:tblCellMar>
          <w:top w:w="0" w:type="dxa"/>
          <w:left w:w="0" w:type="dxa"/>
          <w:bottom w:w="0" w:type="dxa"/>
          <w:right w:w="0" w:type="dxa"/>
        </w:tblCellMar>
      </w:tblPr>
      <w:tr>
        <w:trPr>
          <w:trHeight w:val="184"/>
        </w:trPr>
        <w:tc>
          <w:tcPr>
            <w:tcW w:w="460" w:type="dxa"/>
            <w:vAlign w:val="bottom"/>
          </w:tcPr>
          <w:p>
            <w:pPr>
              <w:spacing w:after="0"/>
              <w:rPr>
                <w:sz w:val="16"/>
                <w:szCs w:val="16"/>
                <w:color w:val="auto"/>
              </w:rPr>
            </w:pPr>
          </w:p>
        </w:tc>
        <w:tc>
          <w:tcPr>
            <w:tcW w:w="19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Title of each class</w:t>
            </w:r>
          </w:p>
        </w:tc>
        <w:tc>
          <w:tcPr>
            <w:tcW w:w="184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rPr>
              <w:t>Trading Symbol(s)</w:t>
            </w:r>
          </w:p>
        </w:tc>
        <w:tc>
          <w:tcPr>
            <w:tcW w:w="3140" w:type="dxa"/>
            <w:vAlign w:val="bottom"/>
            <w:gridSpan w:val="3"/>
          </w:tcPr>
          <w:p>
            <w:pPr>
              <w:jc w:val="center"/>
              <w:ind w:left="159"/>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c>
          <w:tcPr>
            <w:tcW w:w="0" w:type="dxa"/>
            <w:vAlign w:val="bottom"/>
          </w:tcPr>
          <w:p>
            <w:pPr>
              <w:spacing w:after="0"/>
              <w:rPr>
                <w:sz w:val="1"/>
                <w:szCs w:val="1"/>
                <w:color w:val="auto"/>
              </w:rPr>
            </w:pPr>
          </w:p>
        </w:tc>
      </w:tr>
      <w:tr>
        <w:trPr>
          <w:trHeight w:val="20"/>
        </w:trPr>
        <w:tc>
          <w:tcPr>
            <w:tcW w:w="4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w w:val="73"/>
              </w:rPr>
              <w:t>Common</w:t>
            </w:r>
          </w:p>
        </w:tc>
        <w:tc>
          <w:tcPr>
            <w:tcW w:w="116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28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60" w:type="dxa"/>
            <w:vAlign w:val="bottom"/>
            <w:vMerge w:val="continue"/>
          </w:tcPr>
          <w:p>
            <w:pPr>
              <w:spacing w:after="0"/>
              <w:rPr>
                <w:sz w:val="17"/>
                <w:szCs w:val="17"/>
                <w:color w:val="auto"/>
              </w:rPr>
            </w:pPr>
          </w:p>
        </w:tc>
        <w:tc>
          <w:tcPr>
            <w:tcW w:w="198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Stock, $0.01 par value</w:t>
            </w:r>
          </w:p>
        </w:tc>
        <w:tc>
          <w:tcPr>
            <w:tcW w:w="340" w:type="dxa"/>
            <w:vAlign w:val="bottom"/>
            <w:vMerge w:val="continue"/>
          </w:tcPr>
          <w:p>
            <w:pPr>
              <w:spacing w:after="0"/>
              <w:rPr>
                <w:sz w:val="17"/>
                <w:szCs w:val="17"/>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GM</w:t>
            </w:r>
          </w:p>
        </w:tc>
        <w:tc>
          <w:tcPr>
            <w:tcW w:w="280" w:type="dxa"/>
            <w:vAlign w:val="bottom"/>
            <w:vMerge w:val="continue"/>
          </w:tcPr>
          <w:p>
            <w:pPr>
              <w:spacing w:after="0"/>
              <w:rPr>
                <w:sz w:val="17"/>
                <w:szCs w:val="17"/>
                <w:color w:val="auto"/>
              </w:rPr>
            </w:pPr>
          </w:p>
        </w:tc>
        <w:tc>
          <w:tcPr>
            <w:tcW w:w="260" w:type="dxa"/>
            <w:vAlign w:val="bottom"/>
            <w:vMerge w:val="continue"/>
          </w:tcPr>
          <w:p>
            <w:pPr>
              <w:spacing w:after="0"/>
              <w:rPr>
                <w:sz w:val="17"/>
                <w:szCs w:val="17"/>
                <w:color w:val="auto"/>
              </w:rPr>
            </w:pPr>
          </w:p>
        </w:tc>
        <w:tc>
          <w:tcPr>
            <w:tcW w:w="28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New York Stock Exchange</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181" w:lineRule="exact"/>
        <w:rPr>
          <w:sz w:val="24"/>
          <w:szCs w:val="24"/>
          <w:color w:val="auto"/>
        </w:rPr>
      </w:pPr>
    </w:p>
    <w:p>
      <w:pPr>
        <w:ind w:left="300" w:right="599"/>
        <w:spacing w:after="0" w:line="280"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48" w:lineRule="exact"/>
        <w:rPr>
          <w:sz w:val="24"/>
          <w:szCs w:val="24"/>
          <w:color w:val="auto"/>
        </w:rPr>
      </w:pPr>
    </w:p>
    <w:p>
      <w:pPr>
        <w:ind w:left="300"/>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271" w:lineRule="exact"/>
        <w:rPr>
          <w:sz w:val="24"/>
          <w:szCs w:val="24"/>
          <w:color w:val="auto"/>
        </w:rPr>
      </w:pPr>
    </w:p>
    <w:p>
      <w:pPr>
        <w:ind w:left="300" w:right="399"/>
        <w:spacing w:after="0" w:line="213"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ectPr>
          <w:pgSz w:w="11900" w:h="16838" w:orient="portrait"/>
          <w:cols w:equalWidth="0" w:num="1">
            <w:col w:w="9019"/>
          </w:cols>
          <w:pgMar w:left="1440" w:top="1440" w:right="1440" w:bottom="1440" w:gutter="0" w:footer="0" w:header="0"/>
          <w:type w:val="continuous"/>
        </w:sectPr>
      </w:pPr>
    </w:p>
    <w:bookmarkStart w:id="1" w:name="page2"/>
    <w:bookmarkEnd w:id="1"/>
    <w:p>
      <w:pPr>
        <w:spacing w:after="0" w:line="10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ind w:left="1580" w:right="519" w:hanging="1295"/>
        <w:spacing w:after="0" w:line="286" w:lineRule="auto"/>
        <w:tabs>
          <w:tab w:leader="none" w:pos="1560" w:val="left"/>
        </w:tabs>
        <w:rPr>
          <w:sz w:val="20"/>
          <w:szCs w:val="20"/>
          <w:color w:val="auto"/>
        </w:rPr>
      </w:pPr>
      <w:r>
        <w:rPr>
          <w:rFonts w:ascii="Times New Roman" w:cs="Times New Roman" w:eastAsia="Times New Roman" w:hAnsi="Times New Roman"/>
          <w:sz w:val="18"/>
          <w:szCs w:val="18"/>
          <w:b w:val="1"/>
          <w:bCs w:val="1"/>
          <w:color w:val="auto"/>
        </w:rPr>
        <w:t>Item 5.02.</w:t>
      </w:r>
      <w:r>
        <w:rPr>
          <w:sz w:val="20"/>
          <w:szCs w:val="20"/>
          <w:color w:val="auto"/>
        </w:rPr>
        <w:tab/>
      </w: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145" w:lineRule="exact"/>
        <w:rPr>
          <w:sz w:val="20"/>
          <w:szCs w:val="20"/>
          <w:color w:val="auto"/>
        </w:rPr>
      </w:pPr>
    </w:p>
    <w:p>
      <w:pPr>
        <w:ind w:left="300" w:right="319"/>
        <w:spacing w:after="0" w:line="255" w:lineRule="auto"/>
        <w:rPr>
          <w:sz w:val="20"/>
          <w:szCs w:val="20"/>
          <w:color w:val="auto"/>
        </w:rPr>
      </w:pPr>
      <w:r>
        <w:rPr>
          <w:rFonts w:ascii="Times New Roman" w:cs="Times New Roman" w:eastAsia="Times New Roman" w:hAnsi="Times New Roman"/>
          <w:sz w:val="18"/>
          <w:szCs w:val="18"/>
          <w:color w:val="auto"/>
        </w:rPr>
        <w:t>As noted below under Item 5.07, at the 2026 Annual Meeting of Shareholders (the "Annual Meeting") of General Motors Company ("GM" or the "Company") held on June 2, 2026, GM's shareholders, upon the recommendation of GM's Board of Directors (the “Board”), approved Amendment No. 2 (the “Amendment”) to the General Motors Company 2020 Long-Term Incentive Plan (as amended, the "2020 LTIP"). The Amendment increased the overall number of shares available for issuance under the 2020 LTIP by 27 million; increased the number of shares available for issuance pursuant to incentive stock option awards under the 2020 LTIP by that same 27 million; and extended the term of the 2020 LTIP to June 3, 2036.</w:t>
      </w:r>
    </w:p>
    <w:p>
      <w:pPr>
        <w:spacing w:after="0" w:line="189" w:lineRule="exact"/>
        <w:rPr>
          <w:sz w:val="20"/>
          <w:szCs w:val="20"/>
          <w:color w:val="auto"/>
        </w:rPr>
      </w:pPr>
    </w:p>
    <w:p>
      <w:pPr>
        <w:ind w:left="300" w:right="379"/>
        <w:spacing w:after="0" w:line="256" w:lineRule="auto"/>
        <w:rPr>
          <w:sz w:val="20"/>
          <w:szCs w:val="20"/>
          <w:color w:val="auto"/>
        </w:rPr>
      </w:pPr>
      <w:r>
        <w:rPr>
          <w:rFonts w:ascii="Times New Roman" w:cs="Times New Roman" w:eastAsia="Times New Roman" w:hAnsi="Times New Roman"/>
          <w:sz w:val="18"/>
          <w:szCs w:val="18"/>
          <w:color w:val="auto"/>
        </w:rPr>
        <w:t>A more detailed description of the material terms of the Amendment was included in the Company's Definitive Proxy Statement on Schedule 14A filed with the Securities and Exchange Commission (the "SEC") on April 20, 2026 and the supplement thereto on Schedule 14A filed with the SEC on May 26, 2026 (together, the "Proxy Statement"), and such description is hereby incorporated by reference herein. The foregoing and the summary in the Proxy Statement are not complete summaries of the terms of the Amendment and are qualified by reference to the text of the Amendment, which is included as Exhibit 10.1 hereto and is incorporated by reference herein.</w:t>
      </w:r>
    </w:p>
    <w:p>
      <w:pPr>
        <w:spacing w:after="0" w:line="183" w:lineRule="exact"/>
        <w:rPr>
          <w:sz w:val="20"/>
          <w:szCs w:val="20"/>
          <w:color w:val="auto"/>
        </w:rPr>
      </w:pPr>
    </w:p>
    <w:p>
      <w:pPr>
        <w:ind w:left="300"/>
        <w:spacing w:after="0"/>
        <w:tabs>
          <w:tab w:leader="none" w:pos="156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229" w:lineRule="exact"/>
        <w:rPr>
          <w:sz w:val="20"/>
          <w:szCs w:val="20"/>
          <w:color w:val="auto"/>
        </w:rPr>
      </w:pPr>
    </w:p>
    <w:p>
      <w:pPr>
        <w:ind w:left="540" w:hanging="248"/>
        <w:spacing w:after="0"/>
        <w:tabs>
          <w:tab w:leader="none" w:pos="5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GM held the Annual Meeting on June 2, 2026.</w:t>
      </w:r>
    </w:p>
    <w:p>
      <w:pPr>
        <w:spacing w:after="0" w:line="225" w:lineRule="exact"/>
        <w:rPr>
          <w:rFonts w:ascii="Times New Roman" w:cs="Times New Roman" w:eastAsia="Times New Roman" w:hAnsi="Times New Roman"/>
          <w:sz w:val="18"/>
          <w:szCs w:val="18"/>
          <w:color w:val="auto"/>
        </w:rPr>
      </w:pPr>
    </w:p>
    <w:p>
      <w:pPr>
        <w:ind w:left="300" w:right="319" w:hanging="8"/>
        <w:spacing w:after="0" w:line="277" w:lineRule="auto"/>
        <w:tabs>
          <w:tab w:leader="none" w:pos="555"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the Annual Meeting, GM shareholders voted on the matters set forth below, with final voting results indicated. For the election of directors, each nominee who received a majority of votes cast (i.e., votes for exceeded votes against, with abstentions and broker non-votes having no effect) was elected as a director. All other items were approved if the number of shares voted for exceeded the number of shares voted against, with abstentions counted as votes against and broker non-votes having no effect. The proposals are further described in the Proxy Statement.</w:t>
      </w:r>
    </w:p>
    <w:p>
      <w:pPr>
        <w:spacing w:after="0" w:line="163" w:lineRule="exact"/>
        <w:rPr>
          <w:rFonts w:ascii="Times New Roman" w:cs="Times New Roman" w:eastAsia="Times New Roman" w:hAnsi="Times New Roman"/>
          <w:sz w:val="17"/>
          <w:szCs w:val="17"/>
          <w:color w:val="auto"/>
        </w:rPr>
      </w:pPr>
    </w:p>
    <w:p>
      <w:pPr>
        <w:ind w:left="300" w:right="539" w:firstLine="316"/>
        <w:spacing w:after="0" w:line="286" w:lineRule="auto"/>
        <w:tabs>
          <w:tab w:leader="none" w:pos="924" w:val="left"/>
        </w:tabs>
        <w:numPr>
          <w:ilvl w:val="1"/>
          <w:numId w:val="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Election of Directors. </w:t>
      </w:r>
      <w:r>
        <w:rPr>
          <w:rFonts w:ascii="Times New Roman" w:cs="Times New Roman" w:eastAsia="Times New Roman" w:hAnsi="Times New Roman"/>
          <w:sz w:val="18"/>
          <w:szCs w:val="18"/>
          <w:color w:val="auto"/>
        </w:rPr>
        <w:t>GM's shareholders elected each of the 10 nominees for election to the Board, each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a one-year term:</w:t>
      </w:r>
    </w:p>
    <w:p>
      <w:pPr>
        <w:spacing w:after="0" w:line="263" w:lineRule="exact"/>
        <w:rPr>
          <w:sz w:val="20"/>
          <w:szCs w:val="20"/>
          <w:color w:val="auto"/>
        </w:rPr>
      </w:pPr>
    </w:p>
    <w:tbl>
      <w:tblPr>
        <w:tblLayout w:type="fixed"/>
        <w:tblInd w:w="620" w:type="dxa"/>
        <w:tblCellMar>
          <w:top w:w="0" w:type="dxa"/>
          <w:left w:w="0" w:type="dxa"/>
          <w:bottom w:w="0" w:type="dxa"/>
          <w:right w:w="0" w:type="dxa"/>
        </w:tblCellMar>
      </w:tblPr>
      <w:tr>
        <w:trPr>
          <w:trHeight w:val="211"/>
        </w:trPr>
        <w:tc>
          <w:tcPr>
            <w:tcW w:w="188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Director</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Votes For</w:t>
            </w:r>
          </w:p>
        </w:tc>
        <w:tc>
          <w:tcPr>
            <w:tcW w:w="164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144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84"/>
        </w:trPr>
        <w:tc>
          <w:tcPr>
            <w:tcW w:w="18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Mary T. Barra</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649,255,061</w:t>
            </w: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37,355,979</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2,516,453</w:t>
            </w:r>
          </w:p>
        </w:tc>
        <w:tc>
          <w:tcPr>
            <w:tcW w:w="170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76,698,421</w:t>
            </w:r>
          </w:p>
        </w:tc>
      </w:tr>
      <w:tr>
        <w:trPr>
          <w:trHeight w:val="283"/>
        </w:trPr>
        <w:tc>
          <w:tcPr>
            <w:tcW w:w="1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Wesley G. Bush</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673,370,351</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15,056,592</w:t>
            </w:r>
          </w:p>
        </w:tc>
        <w:tc>
          <w:tcPr>
            <w:tcW w:w="14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700,550</w:t>
            </w:r>
          </w:p>
        </w:tc>
        <w:tc>
          <w:tcPr>
            <w:tcW w:w="17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76,698,421</w:t>
            </w:r>
          </w:p>
        </w:tc>
      </w:tr>
      <w:tr>
        <w:trPr>
          <w:trHeight w:val="283"/>
        </w:trPr>
        <w:tc>
          <w:tcPr>
            <w:tcW w:w="18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Joanne C. Crevoiserat</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673,080,376</w:t>
            </w: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14,953,492</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1,093,625</w:t>
            </w:r>
          </w:p>
        </w:tc>
        <w:tc>
          <w:tcPr>
            <w:tcW w:w="170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76,698,421</w:t>
            </w:r>
          </w:p>
        </w:tc>
      </w:tr>
      <w:tr>
        <w:trPr>
          <w:trHeight w:val="284"/>
        </w:trPr>
        <w:tc>
          <w:tcPr>
            <w:tcW w:w="1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Joseph Jimenez</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675,779,707</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12,665,944</w:t>
            </w:r>
          </w:p>
        </w:tc>
        <w:tc>
          <w:tcPr>
            <w:tcW w:w="14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681,842</w:t>
            </w:r>
          </w:p>
        </w:tc>
        <w:tc>
          <w:tcPr>
            <w:tcW w:w="17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76,698,421</w:t>
            </w:r>
          </w:p>
        </w:tc>
      </w:tr>
      <w:tr>
        <w:trPr>
          <w:trHeight w:val="283"/>
        </w:trPr>
        <w:tc>
          <w:tcPr>
            <w:tcW w:w="18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Alfred F. Kelly, Jr.</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681,897,513</w:t>
            </w: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6,584,321</w:t>
            </w:r>
          </w:p>
        </w:tc>
        <w:tc>
          <w:tcPr>
            <w:tcW w:w="144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645,659</w:t>
            </w:r>
          </w:p>
        </w:tc>
        <w:tc>
          <w:tcPr>
            <w:tcW w:w="170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76,698,421</w:t>
            </w:r>
          </w:p>
        </w:tc>
      </w:tr>
      <w:tr>
        <w:trPr>
          <w:trHeight w:val="283"/>
        </w:trPr>
        <w:tc>
          <w:tcPr>
            <w:tcW w:w="1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Judith A. Miscik</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667,672,492</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20,840,917</w:t>
            </w:r>
          </w:p>
        </w:tc>
        <w:tc>
          <w:tcPr>
            <w:tcW w:w="14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614,084</w:t>
            </w:r>
          </w:p>
        </w:tc>
        <w:tc>
          <w:tcPr>
            <w:tcW w:w="17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76,698,421</w:t>
            </w:r>
          </w:p>
        </w:tc>
      </w:tr>
      <w:tr>
        <w:trPr>
          <w:trHeight w:val="284"/>
        </w:trPr>
        <w:tc>
          <w:tcPr>
            <w:tcW w:w="18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Patricia F. Russo</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608,267,120</w:t>
            </w: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80,186,615</w:t>
            </w:r>
          </w:p>
        </w:tc>
        <w:tc>
          <w:tcPr>
            <w:tcW w:w="144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673,758</w:t>
            </w:r>
          </w:p>
        </w:tc>
        <w:tc>
          <w:tcPr>
            <w:tcW w:w="170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76,698,421</w:t>
            </w:r>
          </w:p>
        </w:tc>
      </w:tr>
      <w:tr>
        <w:trPr>
          <w:trHeight w:val="283"/>
        </w:trPr>
        <w:tc>
          <w:tcPr>
            <w:tcW w:w="1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Mark A. Tatum</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673,105,504</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14,899,843</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1,122,146</w:t>
            </w:r>
          </w:p>
        </w:tc>
        <w:tc>
          <w:tcPr>
            <w:tcW w:w="17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76,698,421</w:t>
            </w:r>
          </w:p>
        </w:tc>
      </w:tr>
      <w:tr>
        <w:trPr>
          <w:trHeight w:val="284"/>
        </w:trPr>
        <w:tc>
          <w:tcPr>
            <w:tcW w:w="18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Jan E. Tighe</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681,728,628</w:t>
            </w: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6,715,702</w:t>
            </w:r>
          </w:p>
        </w:tc>
        <w:tc>
          <w:tcPr>
            <w:tcW w:w="144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683,163</w:t>
            </w:r>
          </w:p>
        </w:tc>
        <w:tc>
          <w:tcPr>
            <w:tcW w:w="170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76,698,421</w:t>
            </w:r>
          </w:p>
        </w:tc>
      </w:tr>
      <w:tr>
        <w:trPr>
          <w:trHeight w:val="297"/>
        </w:trPr>
        <w:tc>
          <w:tcPr>
            <w:tcW w:w="1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Devin N. Wenig</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656,149,974</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32,265,643</w:t>
            </w:r>
          </w:p>
        </w:tc>
        <w:tc>
          <w:tcPr>
            <w:tcW w:w="14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711,876</w:t>
            </w:r>
          </w:p>
        </w:tc>
        <w:tc>
          <w:tcPr>
            <w:tcW w:w="17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76,698,421</w:t>
            </w:r>
          </w:p>
        </w:tc>
      </w:tr>
    </w:tbl>
    <w:p>
      <w:pPr>
        <w:sectPr>
          <w:pgSz w:w="11900" w:h="16838" w:orient="portrait"/>
          <w:cols w:equalWidth="0" w:num="1">
            <w:col w:w="9019"/>
          </w:cols>
          <w:pgMar w:left="1440" w:top="1440" w:right="1440" w:bottom="1440" w:gutter="0" w:footer="0" w:header="0"/>
        </w:sectPr>
      </w:pPr>
    </w:p>
    <w:bookmarkStart w:id="2" w:name="page3"/>
    <w:bookmarkEnd w:id="2"/>
    <w:p>
      <w:pPr>
        <w:spacing w:after="0" w:line="10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jc w:val="both"/>
        <w:ind w:left="620" w:right="359" w:hanging="4"/>
        <w:spacing w:after="0" w:line="268" w:lineRule="auto"/>
        <w:tabs>
          <w:tab w:leader="none" w:pos="920" w:val="left"/>
        </w:tabs>
        <w:numPr>
          <w:ilvl w:val="0"/>
          <w:numId w:val="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Board Proposal to Ratify the Selection of Ernst &amp; Young LLP as the Company's Independent Registered Public Accounting Firm for 2026. </w:t>
      </w:r>
      <w:r>
        <w:rPr>
          <w:rFonts w:ascii="Times New Roman" w:cs="Times New Roman" w:eastAsia="Times New Roman" w:hAnsi="Times New Roman"/>
          <w:sz w:val="18"/>
          <w:szCs w:val="18"/>
          <w:color w:val="auto"/>
        </w:rPr>
        <w:t>GM’s shareholders ratified the appointment of Ernst &amp; Young LLP as GM’s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independent registered public accounting firm for 2026.</w:t>
      </w:r>
    </w:p>
    <w:p>
      <w:pPr>
        <w:spacing w:after="0" w:line="206" w:lineRule="exact"/>
        <w:rPr>
          <w:sz w:val="20"/>
          <w:szCs w:val="20"/>
          <w:color w:val="auto"/>
        </w:rPr>
      </w:pPr>
    </w:p>
    <w:tbl>
      <w:tblPr>
        <w:tblLayout w:type="fixed"/>
        <w:tblInd w:w="620" w:type="dxa"/>
        <w:tblCellMar>
          <w:top w:w="0" w:type="dxa"/>
          <w:left w:w="0" w:type="dxa"/>
          <w:bottom w:w="0" w:type="dxa"/>
          <w:right w:w="0" w:type="dxa"/>
        </w:tblCellMar>
      </w:tblPr>
      <w:tr>
        <w:trPr>
          <w:trHeight w:val="284"/>
        </w:trPr>
        <w:tc>
          <w:tcPr>
            <w:tcW w:w="43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3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762,459,672</w:t>
            </w:r>
          </w:p>
        </w:tc>
      </w:tr>
      <w:tr>
        <w:trPr>
          <w:trHeight w:val="283"/>
        </w:trPr>
        <w:tc>
          <w:tcPr>
            <w:tcW w:w="43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3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2,639,409</w:t>
            </w:r>
          </w:p>
        </w:tc>
      </w:tr>
      <w:tr>
        <w:trPr>
          <w:trHeight w:val="283"/>
        </w:trPr>
        <w:tc>
          <w:tcPr>
            <w:tcW w:w="43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3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726,833</w:t>
            </w:r>
          </w:p>
        </w:tc>
      </w:tr>
      <w:tr>
        <w:trPr>
          <w:trHeight w:val="297"/>
        </w:trPr>
        <w:tc>
          <w:tcPr>
            <w:tcW w:w="43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Broker Non-Votes</w:t>
            </w:r>
          </w:p>
        </w:tc>
        <w:tc>
          <w:tcPr>
            <w:tcW w:w="3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bl>
    <w:p>
      <w:pPr>
        <w:spacing w:after="0" w:line="261" w:lineRule="exact"/>
        <w:rPr>
          <w:sz w:val="20"/>
          <w:szCs w:val="20"/>
          <w:color w:val="auto"/>
        </w:rPr>
      </w:pPr>
    </w:p>
    <w:p>
      <w:pPr>
        <w:ind w:left="620" w:right="859" w:hanging="4"/>
        <w:spacing w:after="0" w:line="286" w:lineRule="auto"/>
        <w:tabs>
          <w:tab w:leader="none" w:pos="920" w:val="left"/>
        </w:tabs>
        <w:numPr>
          <w:ilvl w:val="0"/>
          <w:numId w:val="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Board Proposal to Approve, on an Advisory Basis, Named Executive Officer Compensation. </w:t>
      </w:r>
      <w:r>
        <w:rPr>
          <w:rFonts w:ascii="Times New Roman" w:cs="Times New Roman" w:eastAsia="Times New Roman" w:hAnsi="Times New Roman"/>
          <w:sz w:val="18"/>
          <w:szCs w:val="18"/>
          <w:color w:val="auto"/>
        </w:rPr>
        <w:t>GM’s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shareholders approved, by advisory vote, the compensation of GM’s named executive officers.</w:t>
      </w:r>
    </w:p>
    <w:p>
      <w:pPr>
        <w:spacing w:after="0" w:line="191" w:lineRule="exact"/>
        <w:rPr>
          <w:sz w:val="20"/>
          <w:szCs w:val="20"/>
          <w:color w:val="auto"/>
        </w:rPr>
      </w:pPr>
    </w:p>
    <w:tbl>
      <w:tblPr>
        <w:tblLayout w:type="fixed"/>
        <w:tblInd w:w="620" w:type="dxa"/>
        <w:tblCellMar>
          <w:top w:w="0" w:type="dxa"/>
          <w:left w:w="0" w:type="dxa"/>
          <w:bottom w:w="0" w:type="dxa"/>
          <w:right w:w="0" w:type="dxa"/>
        </w:tblCellMar>
      </w:tblPr>
      <w:tr>
        <w:trPr>
          <w:trHeight w:val="283"/>
        </w:trPr>
        <w:tc>
          <w:tcPr>
            <w:tcW w:w="43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3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642,847,031</w:t>
            </w:r>
          </w:p>
        </w:tc>
      </w:tr>
      <w:tr>
        <w:trPr>
          <w:trHeight w:val="284"/>
        </w:trPr>
        <w:tc>
          <w:tcPr>
            <w:tcW w:w="43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3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44,473,958</w:t>
            </w:r>
          </w:p>
        </w:tc>
      </w:tr>
      <w:tr>
        <w:trPr>
          <w:trHeight w:val="283"/>
        </w:trPr>
        <w:tc>
          <w:tcPr>
            <w:tcW w:w="43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3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1,806,504</w:t>
            </w:r>
          </w:p>
        </w:tc>
      </w:tr>
      <w:tr>
        <w:trPr>
          <w:trHeight w:val="297"/>
        </w:trPr>
        <w:tc>
          <w:tcPr>
            <w:tcW w:w="43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Broker Non-Votes</w:t>
            </w:r>
          </w:p>
        </w:tc>
        <w:tc>
          <w:tcPr>
            <w:tcW w:w="3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76,698,421</w:t>
            </w:r>
          </w:p>
        </w:tc>
      </w:tr>
    </w:tbl>
    <w:p>
      <w:pPr>
        <w:spacing w:after="0" w:line="248" w:lineRule="exact"/>
        <w:rPr>
          <w:sz w:val="20"/>
          <w:szCs w:val="20"/>
          <w:color w:val="auto"/>
        </w:rPr>
      </w:pPr>
    </w:p>
    <w:p>
      <w:pPr>
        <w:jc w:val="both"/>
        <w:ind w:left="620" w:right="559" w:hanging="4"/>
        <w:spacing w:after="0" w:line="268" w:lineRule="auto"/>
        <w:tabs>
          <w:tab w:leader="none" w:pos="920" w:val="left"/>
        </w:tabs>
        <w:numPr>
          <w:ilvl w:val="0"/>
          <w:numId w:val="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Board Proposal to Approve, on an Advisory Basis, the Frequency of Future Advisory Votes on Named Executive Officer Compensation. </w:t>
      </w:r>
      <w:r>
        <w:rPr>
          <w:rFonts w:ascii="Times New Roman" w:cs="Times New Roman" w:eastAsia="Times New Roman" w:hAnsi="Times New Roman"/>
          <w:sz w:val="18"/>
          <w:szCs w:val="18"/>
          <w:color w:val="auto"/>
        </w:rPr>
        <w:t>GM's shareholders, by advisory vote, selected 1 Year as the recommended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frequency of future advisory votes on named executive officer compensation.</w:t>
      </w:r>
    </w:p>
    <w:p>
      <w:pPr>
        <w:spacing w:after="0" w:line="206" w:lineRule="exact"/>
        <w:rPr>
          <w:sz w:val="20"/>
          <w:szCs w:val="20"/>
          <w:color w:val="auto"/>
        </w:rPr>
      </w:pPr>
    </w:p>
    <w:tbl>
      <w:tblPr>
        <w:tblLayout w:type="fixed"/>
        <w:tblInd w:w="620" w:type="dxa"/>
        <w:tblCellMar>
          <w:top w:w="0" w:type="dxa"/>
          <w:left w:w="0" w:type="dxa"/>
          <w:bottom w:w="0" w:type="dxa"/>
          <w:right w:w="0" w:type="dxa"/>
        </w:tblCellMar>
      </w:tblPr>
      <w:tr>
        <w:trPr>
          <w:trHeight w:val="283"/>
        </w:trPr>
        <w:tc>
          <w:tcPr>
            <w:tcW w:w="43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1 Year</w:t>
            </w:r>
          </w:p>
        </w:tc>
        <w:tc>
          <w:tcPr>
            <w:tcW w:w="3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672,645,795</w:t>
            </w:r>
          </w:p>
        </w:tc>
      </w:tr>
      <w:tr>
        <w:trPr>
          <w:trHeight w:val="284"/>
        </w:trPr>
        <w:tc>
          <w:tcPr>
            <w:tcW w:w="43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2 Years</w:t>
            </w:r>
          </w:p>
        </w:tc>
        <w:tc>
          <w:tcPr>
            <w:tcW w:w="3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763,374</w:t>
            </w:r>
          </w:p>
        </w:tc>
      </w:tr>
      <w:tr>
        <w:trPr>
          <w:trHeight w:val="283"/>
        </w:trPr>
        <w:tc>
          <w:tcPr>
            <w:tcW w:w="43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3 Years</w:t>
            </w:r>
          </w:p>
        </w:tc>
        <w:tc>
          <w:tcPr>
            <w:tcW w:w="3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14,886,074</w:t>
            </w:r>
          </w:p>
        </w:tc>
      </w:tr>
      <w:tr>
        <w:trPr>
          <w:trHeight w:val="283"/>
        </w:trPr>
        <w:tc>
          <w:tcPr>
            <w:tcW w:w="43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3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832,250</w:t>
            </w:r>
          </w:p>
        </w:tc>
      </w:tr>
      <w:tr>
        <w:trPr>
          <w:trHeight w:val="284"/>
        </w:trPr>
        <w:tc>
          <w:tcPr>
            <w:tcW w:w="43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Broker Non-Votes</w:t>
            </w:r>
          </w:p>
        </w:tc>
        <w:tc>
          <w:tcPr>
            <w:tcW w:w="3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76,698,421</w:t>
            </w:r>
          </w:p>
        </w:tc>
      </w:tr>
    </w:tbl>
    <w:p>
      <w:pPr>
        <w:spacing w:after="0" w:line="275" w:lineRule="exact"/>
        <w:rPr>
          <w:sz w:val="20"/>
          <w:szCs w:val="20"/>
          <w:color w:val="auto"/>
        </w:rPr>
      </w:pPr>
    </w:p>
    <w:p>
      <w:pPr>
        <w:ind w:left="620" w:right="759" w:hanging="4"/>
        <w:spacing w:after="0" w:line="268" w:lineRule="auto"/>
        <w:tabs>
          <w:tab w:leader="none" w:pos="920" w:val="left"/>
        </w:tabs>
        <w:numPr>
          <w:ilvl w:val="0"/>
          <w:numId w:val="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Board Proposal to Approve Amendment No. 2 to the Company's 2020 Long-Term Incentive Plan to Increase the Number of Shares Available for Issuance Thereunder. </w:t>
      </w:r>
      <w:r>
        <w:rPr>
          <w:rFonts w:ascii="Times New Roman" w:cs="Times New Roman" w:eastAsia="Times New Roman" w:hAnsi="Times New Roman"/>
          <w:sz w:val="18"/>
          <w:szCs w:val="18"/>
          <w:color w:val="auto"/>
        </w:rPr>
        <w:t>GM's shareholders approved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Amendment.</w:t>
      </w:r>
    </w:p>
    <w:p>
      <w:pPr>
        <w:spacing w:after="0" w:line="206" w:lineRule="exact"/>
        <w:rPr>
          <w:sz w:val="20"/>
          <w:szCs w:val="20"/>
          <w:color w:val="auto"/>
        </w:rPr>
      </w:pPr>
    </w:p>
    <w:tbl>
      <w:tblPr>
        <w:tblLayout w:type="fixed"/>
        <w:tblInd w:w="620" w:type="dxa"/>
        <w:tblCellMar>
          <w:top w:w="0" w:type="dxa"/>
          <w:left w:w="0" w:type="dxa"/>
          <w:bottom w:w="0" w:type="dxa"/>
          <w:right w:w="0" w:type="dxa"/>
        </w:tblCellMar>
      </w:tblPr>
      <w:tr>
        <w:trPr>
          <w:trHeight w:val="284"/>
        </w:trPr>
        <w:tc>
          <w:tcPr>
            <w:tcW w:w="43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3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488,215,468</w:t>
            </w:r>
          </w:p>
        </w:tc>
      </w:tr>
      <w:tr>
        <w:trPr>
          <w:trHeight w:val="283"/>
        </w:trPr>
        <w:tc>
          <w:tcPr>
            <w:tcW w:w="43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3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199,829,891</w:t>
            </w:r>
          </w:p>
        </w:tc>
      </w:tr>
      <w:tr>
        <w:trPr>
          <w:trHeight w:val="283"/>
        </w:trPr>
        <w:tc>
          <w:tcPr>
            <w:tcW w:w="43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3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1,082,134</w:t>
            </w:r>
          </w:p>
        </w:tc>
      </w:tr>
      <w:tr>
        <w:trPr>
          <w:trHeight w:val="297"/>
        </w:trPr>
        <w:tc>
          <w:tcPr>
            <w:tcW w:w="43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Broker Non-Votes</w:t>
            </w:r>
          </w:p>
        </w:tc>
        <w:tc>
          <w:tcPr>
            <w:tcW w:w="3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76,698,421</w:t>
            </w:r>
          </w:p>
        </w:tc>
      </w:tr>
    </w:tbl>
    <w:p>
      <w:pPr>
        <w:spacing w:after="0" w:line="261" w:lineRule="exact"/>
        <w:rPr>
          <w:sz w:val="20"/>
          <w:szCs w:val="20"/>
          <w:color w:val="auto"/>
        </w:rPr>
      </w:pPr>
    </w:p>
    <w:p>
      <w:pPr>
        <w:ind w:left="620" w:right="679" w:hanging="4"/>
        <w:spacing w:after="0" w:line="286" w:lineRule="auto"/>
        <w:tabs>
          <w:tab w:leader="none" w:pos="920" w:val="left"/>
        </w:tabs>
        <w:numPr>
          <w:ilvl w:val="0"/>
          <w:numId w:val="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Shareholder Proposal Regarding the Separation of Chair and CEO Roles. </w:t>
      </w:r>
      <w:r>
        <w:rPr>
          <w:rFonts w:ascii="Times New Roman" w:cs="Times New Roman" w:eastAsia="Times New Roman" w:hAnsi="Times New Roman"/>
          <w:sz w:val="18"/>
          <w:szCs w:val="18"/>
          <w:color w:val="auto"/>
        </w:rPr>
        <w:t>GM's shareholders did not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approve the shareholder proposal regarding the separation of Chair and CEO roles.</w:t>
      </w:r>
    </w:p>
    <w:p>
      <w:pPr>
        <w:spacing w:after="0" w:line="191" w:lineRule="exact"/>
        <w:rPr>
          <w:sz w:val="20"/>
          <w:szCs w:val="20"/>
          <w:color w:val="auto"/>
        </w:rPr>
      </w:pPr>
    </w:p>
    <w:tbl>
      <w:tblPr>
        <w:tblLayout w:type="fixed"/>
        <w:tblInd w:w="620" w:type="dxa"/>
        <w:tblCellMar>
          <w:top w:w="0" w:type="dxa"/>
          <w:left w:w="0" w:type="dxa"/>
          <w:bottom w:w="0" w:type="dxa"/>
          <w:right w:w="0" w:type="dxa"/>
        </w:tblCellMar>
      </w:tblPr>
      <w:tr>
        <w:trPr>
          <w:trHeight w:val="284"/>
        </w:trPr>
        <w:tc>
          <w:tcPr>
            <w:tcW w:w="43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3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152,263,297</w:t>
            </w:r>
          </w:p>
        </w:tc>
      </w:tr>
      <w:tr>
        <w:trPr>
          <w:trHeight w:val="283"/>
        </w:trPr>
        <w:tc>
          <w:tcPr>
            <w:tcW w:w="43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3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531,635,494</w:t>
            </w:r>
          </w:p>
        </w:tc>
      </w:tr>
      <w:tr>
        <w:trPr>
          <w:trHeight w:val="284"/>
        </w:trPr>
        <w:tc>
          <w:tcPr>
            <w:tcW w:w="43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3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5,228,702</w:t>
            </w:r>
          </w:p>
        </w:tc>
      </w:tr>
      <w:tr>
        <w:trPr>
          <w:trHeight w:val="297"/>
        </w:trPr>
        <w:tc>
          <w:tcPr>
            <w:tcW w:w="43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Broker Non-Votes</w:t>
            </w:r>
          </w:p>
        </w:tc>
        <w:tc>
          <w:tcPr>
            <w:tcW w:w="3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76,698,421</w:t>
            </w:r>
          </w:p>
        </w:tc>
      </w:tr>
    </w:tbl>
    <w:p>
      <w:pPr>
        <w:sectPr>
          <w:pgSz w:w="11900" w:h="16838" w:orient="portrait"/>
          <w:cols w:equalWidth="0" w:num="1">
            <w:col w:w="9019"/>
          </w:cols>
          <w:pgMar w:left="1440" w:top="1440" w:right="1440" w:bottom="1440" w:gutter="0" w:footer="0" w:header="0"/>
        </w:sectPr>
      </w:pPr>
    </w:p>
    <w:bookmarkStart w:id="3" w:name="page4"/>
    <w:bookmarkEnd w:id="3"/>
    <w:p>
      <w:pPr>
        <w:spacing w:after="0" w:line="10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ind w:left="620" w:right="499" w:hanging="4"/>
        <w:spacing w:after="0" w:line="268" w:lineRule="auto"/>
        <w:tabs>
          <w:tab w:leader="none" w:pos="920" w:val="left"/>
        </w:tabs>
        <w:numPr>
          <w:ilvl w:val="0"/>
          <w:numId w:val="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Shareholder Proposal Requesting a Report on Human Rights Standards for Indigenous Peoples. </w:t>
      </w:r>
      <w:r>
        <w:rPr>
          <w:rFonts w:ascii="Times New Roman" w:cs="Times New Roman" w:eastAsia="Times New Roman" w:hAnsi="Times New Roman"/>
          <w:sz w:val="18"/>
          <w:szCs w:val="18"/>
          <w:color w:val="auto"/>
        </w:rPr>
        <w:t>GM's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shareholders did not approve the shareholder proposal requesting a report on human rights standards for indigenous peoples.</w:t>
      </w:r>
    </w:p>
    <w:p>
      <w:pPr>
        <w:spacing w:after="0" w:line="206" w:lineRule="exact"/>
        <w:rPr>
          <w:sz w:val="20"/>
          <w:szCs w:val="20"/>
          <w:color w:val="auto"/>
        </w:rPr>
      </w:pPr>
    </w:p>
    <w:tbl>
      <w:tblPr>
        <w:tblLayout w:type="fixed"/>
        <w:tblInd w:w="620" w:type="dxa"/>
        <w:tblCellMar>
          <w:top w:w="0" w:type="dxa"/>
          <w:left w:w="0" w:type="dxa"/>
          <w:bottom w:w="0" w:type="dxa"/>
          <w:right w:w="0" w:type="dxa"/>
        </w:tblCellMar>
      </w:tblPr>
      <w:tr>
        <w:trPr>
          <w:trHeight w:val="283"/>
        </w:trPr>
        <w:tc>
          <w:tcPr>
            <w:tcW w:w="43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3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101,084,999</w:t>
            </w:r>
          </w:p>
        </w:tc>
      </w:tr>
      <w:tr>
        <w:trPr>
          <w:trHeight w:val="284"/>
        </w:trPr>
        <w:tc>
          <w:tcPr>
            <w:tcW w:w="43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3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582,293,907</w:t>
            </w:r>
          </w:p>
        </w:tc>
      </w:tr>
      <w:tr>
        <w:trPr>
          <w:trHeight w:val="283"/>
        </w:trPr>
        <w:tc>
          <w:tcPr>
            <w:tcW w:w="43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3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5,748,587</w:t>
            </w:r>
          </w:p>
        </w:tc>
      </w:tr>
      <w:tr>
        <w:trPr>
          <w:trHeight w:val="297"/>
        </w:trPr>
        <w:tc>
          <w:tcPr>
            <w:tcW w:w="43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Broker Non-Votes</w:t>
            </w:r>
          </w:p>
        </w:tc>
        <w:tc>
          <w:tcPr>
            <w:tcW w:w="3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76,698,421</w:t>
            </w:r>
          </w:p>
        </w:tc>
      </w:tr>
    </w:tbl>
    <w:p>
      <w:pPr>
        <w:spacing w:after="0" w:line="306" w:lineRule="exact"/>
        <w:rPr>
          <w:sz w:val="20"/>
          <w:szCs w:val="20"/>
          <w:color w:val="auto"/>
        </w:rPr>
      </w:pPr>
    </w:p>
    <w:p>
      <w:pPr>
        <w:ind w:left="300" w:right="359" w:hanging="8"/>
        <w:spacing w:after="0" w:line="261" w:lineRule="auto"/>
        <w:tabs>
          <w:tab w:leader="none" w:pos="5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voting results for Proposal 4 and consistent with the recommendation of the Board, GM has determined to hold an advisory vote to approve the compensation of GM's named executive officers every year until the next required advisory vote on the frequency of future advisory votes to approve named executive officer compensation.</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16" w:lineRule="exact"/>
        <w:rPr>
          <w:sz w:val="20"/>
          <w:szCs w:val="20"/>
          <w:color w:val="auto"/>
        </w:rPr>
      </w:pPr>
    </w:p>
    <w:tbl>
      <w:tblPr>
        <w:tblLayout w:type="fixed"/>
        <w:tblInd w:w="360" w:type="dxa"/>
        <w:tblCellMar>
          <w:top w:w="0" w:type="dxa"/>
          <w:left w:w="0" w:type="dxa"/>
          <w:bottom w:w="0" w:type="dxa"/>
          <w:right w:w="0" w:type="dxa"/>
        </w:tblCellMar>
      </w:tblPr>
      <w:tr>
        <w:trPr>
          <w:trHeight w:val="207"/>
        </w:trPr>
        <w:tc>
          <w:tcPr>
            <w:tcW w:w="5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00" w:type="dxa"/>
            <w:vAlign w:val="bottom"/>
            <w:gridSpan w:val="5"/>
          </w:tcPr>
          <w:p>
            <w:pPr>
              <w:ind w:left="1420"/>
              <w:spacing w:after="0"/>
              <w:rPr>
                <w:sz w:val="20"/>
                <w:szCs w:val="20"/>
                <w:color w:val="auto"/>
              </w:rPr>
            </w:pPr>
            <w:r>
              <w:rPr>
                <w:rFonts w:ascii="Times New Roman" w:cs="Times New Roman" w:eastAsia="Times New Roman" w:hAnsi="Times New Roman"/>
                <w:sz w:val="18"/>
                <w:szCs w:val="18"/>
                <w:b w:val="1"/>
                <w:bCs w:val="1"/>
                <w:color w:val="auto"/>
              </w:rPr>
              <w:t>EXHIBIT</w:t>
            </w:r>
          </w:p>
        </w:tc>
      </w:tr>
      <w:tr>
        <w:trPr>
          <w:trHeight w:val="277"/>
        </w:trPr>
        <w:tc>
          <w:tcPr>
            <w:tcW w:w="1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w:t>
            </w:r>
          </w:p>
        </w:tc>
        <w:tc>
          <w:tcPr>
            <w:tcW w:w="2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Description</w:t>
            </w:r>
          </w:p>
        </w:tc>
        <w:tc>
          <w:tcPr>
            <w:tcW w:w="760" w:type="dxa"/>
            <w:vAlign w:val="bottom"/>
            <w:tcBorders>
              <w:top w:val="single" w:sz="8" w:color="auto"/>
            </w:tcBorders>
          </w:tcPr>
          <w:p>
            <w:pPr>
              <w:spacing w:after="0"/>
              <w:rPr>
                <w:sz w:val="24"/>
                <w:szCs w:val="24"/>
                <w:color w:val="auto"/>
              </w:rPr>
            </w:pPr>
          </w:p>
        </w:tc>
        <w:tc>
          <w:tcPr>
            <w:tcW w:w="3820" w:type="dxa"/>
            <w:vAlign w:val="bottom"/>
            <w:gridSpan w:val="3"/>
          </w:tcPr>
          <w:p>
            <w:pPr>
              <w:spacing w:after="0"/>
              <w:rPr>
                <w:sz w:val="24"/>
                <w:szCs w:val="24"/>
                <w:color w:val="auto"/>
              </w:rPr>
            </w:pPr>
          </w:p>
        </w:tc>
      </w:tr>
      <w:tr>
        <w:trPr>
          <w:trHeight w:val="20"/>
        </w:trPr>
        <w:tc>
          <w:tcPr>
            <w:tcW w:w="52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560" w:type="dxa"/>
            <w:vAlign w:val="bottom"/>
            <w:gridSpan w:val="3"/>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304"/>
        </w:trPr>
        <w:tc>
          <w:tcPr>
            <w:tcW w:w="1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10.1</w:t>
            </w:r>
          </w:p>
        </w:tc>
        <w:tc>
          <w:tcPr>
            <w:tcW w:w="6840" w:type="dxa"/>
            <w:vAlign w:val="bottom"/>
            <w:gridSpan w:val="6"/>
          </w:tcPr>
          <w:p>
            <w:pPr>
              <w:spacing w:after="0"/>
              <w:rPr>
                <w:rFonts w:ascii="Times New Roman" w:cs="Times New Roman" w:eastAsia="Times New Roman" w:hAnsi="Times New Roman"/>
                <w:sz w:val="18"/>
                <w:szCs w:val="18"/>
                <w:color w:val="0000FF"/>
              </w:rPr>
            </w:pPr>
            <w:hyperlink r:id="rId12">
              <w:r>
                <w:rPr>
                  <w:rFonts w:ascii="Times New Roman" w:cs="Times New Roman" w:eastAsia="Times New Roman" w:hAnsi="Times New Roman"/>
                  <w:sz w:val="18"/>
                  <w:szCs w:val="18"/>
                  <w:color w:val="0000FF"/>
                </w:rPr>
                <w:t>Amendment No. 2 to the General Motors Company 2020 Long-Term Incentive Plan,</w:t>
              </w:r>
            </w:hyperlink>
          </w:p>
        </w:tc>
      </w:tr>
      <w:tr>
        <w:trPr>
          <w:trHeight w:val="169"/>
        </w:trPr>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140" w:type="dxa"/>
            <w:vAlign w:val="bottom"/>
            <w:tcBorders>
              <w:top w:val="single" w:sz="8" w:color="0000FF"/>
              <w:bottom w:val="single" w:sz="8" w:color="0000FF"/>
            </w:tcBorders>
            <w:gridSpan w:val="5"/>
          </w:tcPr>
          <w:p>
            <w:pPr>
              <w:spacing w:after="0" w:line="169" w:lineRule="exact"/>
              <w:rPr>
                <w:rFonts w:ascii="Times New Roman" w:cs="Times New Roman" w:eastAsia="Times New Roman" w:hAnsi="Times New Roman"/>
                <w:sz w:val="18"/>
                <w:szCs w:val="18"/>
                <w:color w:val="0000FF"/>
                <w:w w:val="98"/>
              </w:rPr>
            </w:pPr>
            <w:hyperlink r:id="rId12">
              <w:r>
                <w:rPr>
                  <w:rFonts w:ascii="Times New Roman" w:cs="Times New Roman" w:eastAsia="Times New Roman" w:hAnsi="Times New Roman"/>
                  <w:sz w:val="18"/>
                  <w:szCs w:val="18"/>
                  <w:color w:val="0000FF"/>
                  <w:w w:val="98"/>
                </w:rPr>
                <w:t>incorporated by reference to Appendix B of the Definitive Proxy Statement of General</w:t>
              </w:r>
            </w:hyperlink>
          </w:p>
        </w:tc>
        <w:tc>
          <w:tcPr>
            <w:tcW w:w="700" w:type="dxa"/>
            <w:vAlign w:val="bottom"/>
            <w:tcBorders>
              <w:bottom w:val="single" w:sz="8" w:color="0000FF"/>
            </w:tcBorders>
          </w:tcPr>
          <w:p>
            <w:pPr>
              <w:ind w:left="140"/>
              <w:spacing w:after="0" w:line="169" w:lineRule="exact"/>
              <w:rPr>
                <w:rFonts w:ascii="Times New Roman" w:cs="Times New Roman" w:eastAsia="Times New Roman" w:hAnsi="Times New Roman"/>
                <w:sz w:val="18"/>
                <w:szCs w:val="18"/>
                <w:color w:val="0000FF"/>
              </w:rPr>
            </w:pPr>
            <w:hyperlink r:id="rId12">
              <w:r>
                <w:rPr>
                  <w:rFonts w:ascii="Times New Roman" w:cs="Times New Roman" w:eastAsia="Times New Roman" w:hAnsi="Times New Roman"/>
                  <w:sz w:val="18"/>
                  <w:szCs w:val="18"/>
                  <w:color w:val="0000FF"/>
                </w:rPr>
                <w:t>Motors</w:t>
              </w:r>
            </w:hyperlink>
          </w:p>
        </w:tc>
      </w:tr>
      <w:tr>
        <w:trPr>
          <w:trHeight w:val="155"/>
        </w:trPr>
        <w:tc>
          <w:tcPr>
            <w:tcW w:w="5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400" w:type="dxa"/>
            <w:vAlign w:val="bottom"/>
            <w:tcBorders>
              <w:bottom w:val="single" w:sz="8" w:color="0000FF"/>
            </w:tcBorders>
            <w:gridSpan w:val="4"/>
          </w:tcPr>
          <w:p>
            <w:pPr>
              <w:spacing w:after="0" w:line="156" w:lineRule="exact"/>
              <w:rPr>
                <w:rFonts w:ascii="Times New Roman" w:cs="Times New Roman" w:eastAsia="Times New Roman" w:hAnsi="Times New Roman"/>
                <w:sz w:val="18"/>
                <w:szCs w:val="18"/>
                <w:color w:val="0000FF"/>
                <w:w w:val="99"/>
              </w:rPr>
            </w:pPr>
            <w:hyperlink r:id="rId12">
              <w:r>
                <w:rPr>
                  <w:rFonts w:ascii="Times New Roman" w:cs="Times New Roman" w:eastAsia="Times New Roman" w:hAnsi="Times New Roman"/>
                  <w:sz w:val="18"/>
                  <w:szCs w:val="18"/>
                  <w:color w:val="0000FF"/>
                  <w:w w:val="99"/>
                </w:rPr>
                <w:t>Company filed with the SEC on April 20, 2026</w:t>
              </w:r>
            </w:hyperlink>
          </w:p>
        </w:tc>
        <w:tc>
          <w:tcPr>
            <w:tcW w:w="3440" w:type="dxa"/>
            <w:vAlign w:val="bottom"/>
            <w:gridSpan w:val="2"/>
          </w:tcPr>
          <w:p>
            <w:pPr>
              <w:spacing w:after="0"/>
              <w:rPr>
                <w:sz w:val="13"/>
                <w:szCs w:val="13"/>
                <w:color w:val="auto"/>
              </w:rPr>
            </w:pPr>
          </w:p>
        </w:tc>
      </w:tr>
      <w:tr>
        <w:trPr>
          <w:trHeight w:val="399"/>
        </w:trPr>
        <w:tc>
          <w:tcPr>
            <w:tcW w:w="1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104</w:t>
            </w:r>
          </w:p>
        </w:tc>
        <w:tc>
          <w:tcPr>
            <w:tcW w:w="68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ectPr>
          <w:pgSz w:w="11900" w:h="16838" w:orient="portrait"/>
          <w:cols w:equalWidth="0" w:num="1">
            <w:col w:w="9019"/>
          </w:cols>
          <w:pgMar w:left="1440" w:top="1440" w:right="1440" w:bottom="1440" w:gutter="0" w:footer="0" w:header="0"/>
        </w:sectPr>
      </w:pPr>
    </w:p>
    <w:bookmarkStart w:id="4" w:name="page5"/>
    <w:bookmarkEnd w:id="4"/>
    <w:p>
      <w:pPr>
        <w:spacing w:after="0" w:line="3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00" w:right="39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2" w:lineRule="exact"/>
        <w:rPr>
          <w:sz w:val="20"/>
          <w:szCs w:val="20"/>
          <w:color w:val="auto"/>
        </w:rPr>
      </w:pPr>
    </w:p>
    <w:tbl>
      <w:tblPr>
        <w:tblLayout w:type="fixed"/>
        <w:tblInd w:w="360" w:type="dxa"/>
        <w:tblCellMar>
          <w:top w:w="0" w:type="dxa"/>
          <w:left w:w="0" w:type="dxa"/>
          <w:bottom w:w="0" w:type="dxa"/>
          <w:right w:w="0" w:type="dxa"/>
        </w:tblCellMar>
      </w:tblPr>
      <w:tr>
        <w:trPr>
          <w:trHeight w:val="234"/>
        </w:trPr>
        <w:tc>
          <w:tcPr>
            <w:tcW w:w="4140" w:type="dxa"/>
            <w:vAlign w:val="bottom"/>
          </w:tcPr>
          <w:p>
            <w:pPr>
              <w:spacing w:after="0"/>
              <w:rPr>
                <w:sz w:val="20"/>
                <w:szCs w:val="20"/>
                <w:color w:val="auto"/>
              </w:rPr>
            </w:pPr>
          </w:p>
        </w:tc>
        <w:tc>
          <w:tcPr>
            <w:tcW w:w="4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GENERAL MOTORS COMPANY (Registrant)</w:t>
            </w:r>
          </w:p>
        </w:tc>
      </w:tr>
      <w:tr>
        <w:trPr>
          <w:trHeight w:val="675"/>
        </w:trPr>
        <w:tc>
          <w:tcPr>
            <w:tcW w:w="4140" w:type="dxa"/>
            <w:vAlign w:val="bottom"/>
          </w:tcPr>
          <w:p>
            <w:pPr>
              <w:ind w:left="3640"/>
              <w:spacing w:after="0"/>
              <w:rPr>
                <w:sz w:val="20"/>
                <w:szCs w:val="20"/>
                <w:color w:val="auto"/>
              </w:rPr>
            </w:pPr>
            <w:r>
              <w:rPr>
                <w:rFonts w:ascii="Times New Roman" w:cs="Times New Roman" w:eastAsia="Times New Roman" w:hAnsi="Times New Roman"/>
                <w:sz w:val="18"/>
                <w:szCs w:val="18"/>
                <w:color w:val="auto"/>
              </w:rPr>
              <w:t>By:</w:t>
            </w:r>
          </w:p>
        </w:tc>
        <w:tc>
          <w:tcPr>
            <w:tcW w:w="42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JOHN S. KIM</w:t>
            </w:r>
          </w:p>
        </w:tc>
      </w:tr>
      <w:tr>
        <w:trPr>
          <w:trHeight w:val="223"/>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Date: June 4, 2026</w:t>
            </w:r>
          </w:p>
        </w:tc>
        <w:tc>
          <w:tcPr>
            <w:tcW w:w="4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John S. Kim</w:t>
            </w:r>
          </w:p>
        </w:tc>
      </w:tr>
      <w:tr>
        <w:trPr>
          <w:trHeight w:val="234"/>
        </w:trPr>
        <w:tc>
          <w:tcPr>
            <w:tcW w:w="4140" w:type="dxa"/>
            <w:vAlign w:val="bottom"/>
          </w:tcPr>
          <w:p>
            <w:pPr>
              <w:spacing w:after="0"/>
              <w:rPr>
                <w:sz w:val="20"/>
                <w:szCs w:val="20"/>
                <w:color w:val="auto"/>
              </w:rPr>
            </w:pPr>
          </w:p>
        </w:tc>
        <w:tc>
          <w:tcPr>
            <w:tcW w:w="4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Assistant Corporate Secretary</w:t>
            </w:r>
          </w:p>
        </w:tc>
      </w:tr>
    </w:tbl>
    <w:p>
      <w:pPr>
        <w:sectPr>
          <w:pgSz w:w="11900" w:h="16838" w:orient="portrait"/>
          <w:cols w:equalWidth="0" w:num="1">
            <w:col w:w="9019"/>
          </w:cols>
          <w:pgMar w:left="1440" w:top="1440" w:right="1440" w:bottom="1440" w:gutter="0" w:footer="0" w:header="0"/>
        </w:sectPr>
      </w:pPr>
    </w:p>
    <w:bookmarkStart w:id="5" w:name="page6"/>
    <w:bookmarkEnd w:id="5"/>
    <w:p>
      <w:pPr>
        <w:spacing w:after="0" w:line="1" w:lineRule="exact"/>
        <w:rPr>
          <w:sz w:val="20"/>
          <w:szCs w:val="20"/>
          <w:color w:val="auto"/>
        </w:rPr>
      </w:pP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lowerLetter"/>
      <w:start w:val="1"/>
    </w:lvl>
    <w:lvl w:ilvl="1">
      <w:lvlJc w:val="left"/>
      <w:lvlText w:val="(%2)"/>
      <w:numFmt w:val="decimal"/>
      <w:start w:val="1"/>
    </w:lvl>
  </w:abstractNum>
  <w:abstractNum w:abstractNumId="2">
    <w:nsid w:val="507ED7AB"/>
    <w:multiLevelType w:val="hybridMultilevel"/>
    <w:lvl w:ilvl="0">
      <w:lvlJc w:val="left"/>
      <w:lvlText w:val="(%1)"/>
      <w:numFmt w:val="decimal"/>
      <w:start w:val="2"/>
    </w:lvl>
  </w:abstractNum>
  <w:abstractNum w:abstractNumId="3">
    <w:nsid w:val="2EB141F2"/>
    <w:multiLevelType w:val="hybridMultilevel"/>
    <w:lvl w:ilvl="0">
      <w:lvlJc w:val="left"/>
      <w:lvlText w:val="(%1)"/>
      <w:numFmt w:val="decimal"/>
      <w:start w:val="3"/>
    </w:lvl>
  </w:abstractNum>
  <w:abstractNum w:abstractNumId="4">
    <w:nsid w:val="41B71EFB"/>
    <w:multiLevelType w:val="hybridMultilevel"/>
    <w:lvl w:ilvl="0">
      <w:lvlJc w:val="left"/>
      <w:lvlText w:val="(%1)"/>
      <w:numFmt w:val="decimal"/>
      <w:start w:val="4"/>
    </w:lvl>
  </w:abstractNum>
  <w:abstractNum w:abstractNumId="5">
    <w:nsid w:val="79E2A9E3"/>
    <w:multiLevelType w:val="hybridMultilevel"/>
    <w:lvl w:ilvl="0">
      <w:lvlJc w:val="left"/>
      <w:lvlText w:val="(%1)"/>
      <w:numFmt w:val="decimal"/>
      <w:start w:val="5"/>
    </w:lvl>
  </w:abstractNum>
  <w:abstractNum w:abstractNumId="6">
    <w:nsid w:val="7545E146"/>
    <w:multiLevelType w:val="hybridMultilevel"/>
    <w:lvl w:ilvl="0">
      <w:lvlJc w:val="left"/>
      <w:lvlText w:val="(%1)"/>
      <w:numFmt w:val="decimal"/>
      <w:start w:val="6"/>
    </w:lvl>
  </w:abstractNum>
  <w:abstractNum w:abstractNumId="7">
    <w:nsid w:val="515F007C"/>
    <w:multiLevelType w:val="hybridMultilevel"/>
    <w:lvl w:ilvl="0">
      <w:lvlJc w:val="left"/>
      <w:lvlText w:val="(%1)"/>
      <w:numFmt w:val="decimal"/>
      <w:start w:val="7"/>
    </w:lvl>
  </w:abstractNum>
  <w:abstractNum w:abstractNumId="8">
    <w:nsid w:val="5BD062C2"/>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3" Type="http://schemas.openxmlformats.org/officeDocument/2006/relationships/image" Target="media/image5.png"/><Relationship Id="rId12" Type="http://schemas.openxmlformats.org/officeDocument/2006/relationships/hyperlink" Target="https://www.sec.gov/ix?doc=/Archives/edgar/data/1467858/000146785826000022/gm-2026042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2026-06-04T15:09:30Z</dcterms:created>
  <dcterms:modified xsi:type="dcterms:W3CDTF">2026-06-04T15:09:30Z</dcterms:modified>
</cp:coreProperties>
</file>