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9612" w:type="dxa"/>
        <w:jc w:val="left"/>
        <w:tblInd w:w="0" w:type="dxa"/>
        <w:tblLayout w:type="fixed"/>
        <w:tblCellMar>
          <w:top w:w="28" w:type="dxa"/>
          <w:left w:w="28" w:type="dxa"/>
          <w:bottom w:w="28" w:type="dxa"/>
          <w:right w:w="28" w:type="dxa"/>
        </w:tblCellMar>
      </w:tblPr>
      <w:tblGrid>
        <w:gridCol w:w="124"/>
        <w:gridCol w:w="109"/>
        <w:gridCol w:w="109"/>
        <w:gridCol w:w="2712"/>
        <w:gridCol w:w="2712"/>
        <w:gridCol w:w="3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w:t>
              <w:br/>
              <w:t>OF 1934</w:t>
            </w:r>
          </w:p>
        </w:tc>
      </w:tr>
    </w:tbl>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or</w:t>
      </w:r>
    </w:p>
    <w:tbl>
      <w:tblPr>
        <w:tblW w:w="9597" w:type="dxa"/>
        <w:jc w:val="left"/>
        <w:tblInd w:w="0" w:type="dxa"/>
        <w:tblLayout w:type="fixed"/>
        <w:tblCellMar>
          <w:top w:w="28" w:type="dxa"/>
          <w:left w:w="28" w:type="dxa"/>
          <w:bottom w:w="28" w:type="dxa"/>
          <w:right w:w="28" w:type="dxa"/>
        </w:tblCellMar>
      </w:tblPr>
      <w:tblGrid>
        <w:gridCol w:w="124"/>
        <w:gridCol w:w="109"/>
        <w:gridCol w:w="109"/>
        <w:gridCol w:w="2710"/>
        <w:gridCol w:w="2710"/>
        <w:gridCol w:w="3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OF THE SECURITIES EXCHANGE ACT </w:t>
              <w:br/>
              <w:t>OF 1934</w:t>
            </w:r>
          </w:p>
        </w:tc>
      </w:tr>
    </w:tbl>
    <w:p>
      <w:pPr>
        <w:pStyle w:val="TextBody"/>
        <w:bidi w:val="0"/>
        <w:spacing w:lineRule="auto" w:line="288" w:before="80" w:after="283"/>
        <w:ind w:left="0" w:right="0" w:firstLine="495"/>
        <w:jc w:val="left"/>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001-34960 </w:t>
      </w:r>
    </w:p>
    <w:p>
      <w:pPr>
        <w:pStyle w:val="TextBody"/>
        <w:bidi w:val="0"/>
        <w:spacing w:before="180" w:after="120"/>
        <w:jc w:val="center"/>
        <w:rPr/>
      </w:pPr>
      <w:r>
        <w:rPr/>
        <w:drawing>
          <wp:inline distT="0" distB="0" distL="0" distR="0">
            <wp:extent cx="5143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435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GENERAL MOTORS COMPANY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579" w:type="dxa"/>
        <w:jc w:val="center"/>
        <w:tblInd w:w="0" w:type="dxa"/>
        <w:tblLayout w:type="fixed"/>
        <w:tblCellMar>
          <w:top w:w="28" w:type="dxa"/>
          <w:left w:w="28" w:type="dxa"/>
          <w:bottom w:w="28" w:type="dxa"/>
          <w:right w:w="28" w:type="dxa"/>
        </w:tblCellMar>
      </w:tblPr>
      <w:tblGrid>
        <w:gridCol w:w="125"/>
        <w:gridCol w:w="110"/>
        <w:gridCol w:w="110"/>
        <w:gridCol w:w="186"/>
        <w:gridCol w:w="186"/>
        <w:gridCol w:w="186"/>
        <w:gridCol w:w="186"/>
        <w:gridCol w:w="186"/>
        <w:gridCol w:w="186"/>
        <w:gridCol w:w="186"/>
        <w:gridCol w:w="186"/>
        <w:gridCol w:w="186"/>
        <w:gridCol w:w="186"/>
        <w:gridCol w:w="186"/>
        <w:gridCol w:w="186"/>
        <w:gridCol w:w="249"/>
        <w:gridCol w:w="249"/>
        <w:gridCol w:w="251"/>
        <w:gridCol w:w="305"/>
        <w:gridCol w:w="305"/>
        <w:gridCol w:w="306"/>
        <w:gridCol w:w="110"/>
        <w:gridCol w:w="110"/>
        <w:gridCol w:w="110"/>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27-0756180</w:t>
            </w:r>
          </w:p>
        </w:tc>
      </w:tr>
      <w:tr>
        <w:trPr/>
        <w:tc>
          <w:tcPr>
            <w:tcW w:w="457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(State or other jurisdiction of</w:t>
              <w:br/>
              <w:t>incorporation or organization)</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(I.R.S. Employer</w:t>
              <w:br/>
              <w:t>Identification No.)</w:t>
            </w:r>
          </w:p>
        </w:tc>
      </w:tr>
      <w:tr>
        <w:trPr/>
        <w:tc>
          <w:tcPr>
            <w:tcW w:w="6579"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1240 Woodward Avenue,</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Detroit,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Michigan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9"/>
              </w:rPr>
              <w:t>48265</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7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(Address of principal executive offices)</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(313) 667-1500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GM</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New York Stock Exchange</w:t>
            </w:r>
          </w:p>
        </w:tc>
      </w:tr>
    </w:tbl>
    <w:p>
      <w:pPr>
        <w:pStyle w:val="TextBody"/>
        <w:bidi w:val="0"/>
        <w:spacing w:lineRule="auto" w:line="288" w:before="20" w:after="283"/>
        <w:ind w:left="0" w:right="0" w:firstLine="90"/>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90"/>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9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90"/>
        <w:jc w:val="both"/>
        <w:rPr/>
      </w:pPr>
      <w:r>
        <w:rPr>
          <w:rFonts w:ascii="Times New Roman;serif" w:hAnsi="Times New Roman;serif"/>
          <w:b w:val="false"/>
          <w:color w:val="000000"/>
          <w:sz w:val="18"/>
        </w:rPr>
        <w:t>Large accelerated filer  </w:t>
      </w:r>
      <w:r>
        <w:rPr>
          <w:color w:val="000000"/>
        </w:rPr>
        <w:t>☑  </w:t>
      </w:r>
      <w:r>
        <w:rPr>
          <w:rFonts w:ascii="Times New Roman;serif" w:hAnsi="Times New Roman;serif"/>
          <w:b w:val="false"/>
          <w:color w:val="000000"/>
          <w:sz w:val="18"/>
        </w:rPr>
        <w:t>Accelerated filer  </w:t>
      </w:r>
      <w:r>
        <w:rPr>
          <w:color w:val="000000"/>
        </w:rPr>
        <w:t xml:space="preserve">☐ </w:t>
      </w:r>
      <w:r>
        <w:rPr>
          <w:rFonts w:ascii="Times New Roman;serif" w:hAnsi="Times New Roman;serif"/>
          <w:b w:val="false"/>
          <w:color w:val="000000"/>
          <w:sz w:val="18"/>
        </w:rPr>
        <w:t>Non-accelerated filer  </w:t>
      </w:r>
      <w:r>
        <w:rPr>
          <w:color w:val="000000"/>
        </w:rPr>
        <w:t>☐  </w:t>
      </w:r>
      <w:r>
        <w:rPr>
          <w:rFonts w:ascii="Times New Roman;serif" w:hAnsi="Times New Roman;serif"/>
          <w:b w:val="false"/>
          <w:color w:val="000000"/>
          <w:sz w:val="18"/>
        </w:rPr>
        <w:t xml:space="preserve">Smaller reporting company  </w:t>
      </w:r>
      <w:r>
        <w:rPr>
          <w:color w:val="000000"/>
        </w:rPr>
        <w:t xml:space="preserve">☐ </w:t>
      </w:r>
      <w:r>
        <w:rPr>
          <w:rFonts w:ascii="Times New Roman;serif" w:hAnsi="Times New Roman;serif"/>
          <w:b w:val="false"/>
          <w:color w:val="000000"/>
          <w:sz w:val="18"/>
        </w:rPr>
        <w:t xml:space="preserve">Emerging growth company  </w:t>
      </w:r>
      <w:r>
        <w:rPr>
          <w:color w:val="000000"/>
        </w:rPr>
        <w:t>☐ </w:t>
      </w:r>
    </w:p>
    <w:p>
      <w:pPr>
        <w:pStyle w:val="TextBody"/>
        <w:bidi w:val="0"/>
        <w:spacing w:lineRule="auto" w:line="288" w:before="120" w:after="283"/>
        <w:ind w:left="0" w:right="0" w:firstLine="90"/>
        <w:jc w:val="both"/>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90"/>
        <w:jc w:val="both"/>
        <w:rPr/>
      </w:pPr>
      <w:r>
        <w:rPr>
          <w:rFonts w:ascii="Times New Roman;serif" w:hAnsi="Times New Roman;serif"/>
          <w:b w:val="false"/>
          <w:color w:val="000000"/>
          <w:sz w:val="19"/>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90"/>
        <w:jc w:val="both"/>
        <w:rPr>
          <w:rFonts w:ascii="Times New Roman;serif" w:hAnsi="Times New Roman;serif"/>
          <w:b w:val="false"/>
          <w:color w:val="000000"/>
          <w:sz w:val="19"/>
        </w:rPr>
      </w:pPr>
      <w:r>
        <w:rPr>
          <w:rFonts w:ascii="Times New Roman;serif" w:hAnsi="Times New Roman;serif"/>
          <w:b w:val="false"/>
          <w:color w:val="000000"/>
          <w:sz w:val="19"/>
        </w:rPr>
        <w:t>As of October 9, 2026 there were 843,549,423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34" w:type="dxa"/>
        <w:jc w:val="left"/>
        <w:tblInd w:w="0" w:type="dxa"/>
        <w:tblLayout w:type="fixed"/>
        <w:tblCellMar>
          <w:top w:w="28" w:type="dxa"/>
          <w:left w:w="28" w:type="dxa"/>
          <w:bottom w:w="28" w:type="dxa"/>
          <w:right w:w="28" w:type="dxa"/>
        </w:tblCellMar>
      </w:tblPr>
      <w:tblGrid>
        <w:gridCol w:w="325"/>
        <w:gridCol w:w="286"/>
        <w:gridCol w:w="290"/>
        <w:gridCol w:w="1050"/>
        <w:gridCol w:w="1050"/>
        <w:gridCol w:w="1050"/>
        <w:gridCol w:w="1403"/>
        <w:gridCol w:w="1403"/>
        <w:gridCol w:w="1406"/>
        <w:gridCol w:w="167"/>
        <w:gridCol w:w="167"/>
        <w:gridCol w:w="237"/>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8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3">
              <w:r>
                <w:rPr>
                  <w:rStyle w:val="InternetLink"/>
                  <w:rFonts w:ascii="Times New Roman;serif" w:hAnsi="Times New Roman;serif"/>
                  <w:b w:val="false"/>
                  <w:color w:val="0000FF"/>
                  <w:sz w:val="20"/>
                  <w:u w:val="single"/>
                </w:rPr>
                <w:t>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Statements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6">
              <w:r>
                <w:rPr>
                  <w:rStyle w:val="InternetLink"/>
                  <w:rFonts w:ascii="Times New Roman;serif" w:hAnsi="Times New Roman;serif"/>
                  <w:b w:val="false"/>
                  <w:color w:val="0000FF"/>
                  <w:sz w:val="20"/>
                  <w:u w:val="single"/>
                </w:rPr>
                <w:t>1</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(Unaudited)</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9">
              <w:r>
                <w:rPr>
                  <w:rStyle w:val="InternetLink"/>
                  <w:rFonts w:ascii="Times New Roman;serif" w:hAnsi="Times New Roman;serif"/>
                  <w:b w:val="false"/>
                  <w:color w:val="0000FF"/>
                  <w:sz w:val="20"/>
                  <w:u w:val="single"/>
                </w:rPr>
                <w:t>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22">
              <w:r>
                <w:rPr>
                  <w:rStyle w:val="InternetLink"/>
                  <w:rFonts w:ascii="Times New Roman;serif" w:hAnsi="Times New Roman;serif"/>
                  <w:b w:val="false"/>
                  <w:color w:val="0000FF"/>
                  <w:sz w:val="20"/>
                  <w:u w:val="single"/>
                </w:rPr>
                <w:t>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25">
              <w:r>
                <w:rPr>
                  <w:rStyle w:val="InternetLink"/>
                  <w:rFonts w:ascii="Times New Roman;serif" w:hAnsi="Times New Roman;serif"/>
                  <w:b w:val="false"/>
                  <w:color w:val="0000FF"/>
                  <w:sz w:val="20"/>
                  <w:u w:val="single"/>
                </w:rPr>
                <w:t>3</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Equity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28">
              <w:r>
                <w:rPr>
                  <w:rStyle w:val="InternetLink"/>
                  <w:rFonts w:ascii="Times New Roman;serif" w:hAnsi="Times New Roman;serif"/>
                  <w:b w:val="false"/>
                  <w:color w:val="0000FF"/>
                  <w:sz w:val="20"/>
                  <w:u w:val="single"/>
                </w:rPr>
                <w:t>4</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31">
              <w:r>
                <w:rPr>
                  <w:rStyle w:val="InternetLink"/>
                  <w:rFonts w:ascii="Times New Roman;serif" w:hAnsi="Times New Roman;serif"/>
                  <w:b w:val="false"/>
                  <w:color w:val="0000FF"/>
                  <w:sz w:val="20"/>
                  <w:u w:val="single"/>
                </w:rPr>
                <w:t>5</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Nature of Operations and Basis of Presentation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31">
              <w:r>
                <w:rPr>
                  <w:rStyle w:val="InternetLink"/>
                  <w:rFonts w:ascii="Times New Roman;serif" w:hAnsi="Times New Roman;serif"/>
                  <w:b w:val="false"/>
                  <w:color w:val="0000FF"/>
                  <w:sz w:val="20"/>
                  <w:u w:val="single"/>
                </w:rPr>
                <w:t>5</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2.</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37">
              <w:r>
                <w:rPr>
                  <w:rStyle w:val="InternetLink"/>
                  <w:rFonts w:ascii="Times New Roman;serif" w:hAnsi="Times New Roman;serif"/>
                  <w:b w:val="false"/>
                  <w:color w:val="0000FF"/>
                  <w:sz w:val="20"/>
                  <w:u w:val="single"/>
                </w:rPr>
                <w:t>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3.</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and Other Securities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43">
              <w:r>
                <w:rPr>
                  <w:rStyle w:val="InternetLink"/>
                  <w:rFonts w:ascii="Times New Roman;serif" w:hAnsi="Times New Roman;serif"/>
                  <w:b w:val="false"/>
                  <w:color w:val="0000FF"/>
                  <w:sz w:val="20"/>
                  <w:u w:val="single"/>
                </w:rPr>
                <w:t>8</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4.</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Receivables and Transactions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46">
              <w:r>
                <w:rPr>
                  <w:rStyle w:val="InternetLink"/>
                  <w:rFonts w:ascii="Times New Roman;serif" w:hAnsi="Times New Roman;serif"/>
                  <w:b w:val="false"/>
                  <w:color w:val="0000FF"/>
                  <w:sz w:val="20"/>
                  <w:u w:val="single"/>
                </w:rPr>
                <w:t>9</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52">
              <w:r>
                <w:rPr>
                  <w:rStyle w:val="InternetLink"/>
                  <w:rFonts w:ascii="Times New Roman;serif" w:hAnsi="Times New Roman;serif"/>
                  <w:b w:val="false"/>
                  <w:color w:val="0000FF"/>
                  <w:sz w:val="20"/>
                  <w:u w:val="single"/>
                </w:rPr>
                <w:t>12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on Operating Leases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55">
              <w:r>
                <w:rPr>
                  <w:rStyle w:val="InternetLink"/>
                  <w:rFonts w:ascii="Times New Roman;serif" w:hAnsi="Times New Roman;serif"/>
                  <w:b w:val="false"/>
                  <w:color w:val="0000FF"/>
                  <w:sz w:val="20"/>
                  <w:u w:val="single"/>
                </w:rPr>
                <w:t>12</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Assets of Nonconsolidated Affiliates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58">
              <w:r>
                <w:rPr>
                  <w:rStyle w:val="InternetLink"/>
                  <w:rFonts w:ascii="Times New Roman;serif" w:hAnsi="Times New Roman;serif"/>
                  <w:b w:val="false"/>
                  <w:color w:val="0000FF"/>
                  <w:sz w:val="20"/>
                  <w:u w:val="single"/>
                </w:rPr>
                <w:t>13</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Entities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64">
              <w:r>
                <w:rPr>
                  <w:rStyle w:val="InternetLink"/>
                  <w:rFonts w:ascii="Times New Roman;serif" w:hAnsi="Times New Roman;serif"/>
                  <w:b w:val="false"/>
                  <w:color w:val="0000FF"/>
                  <w:sz w:val="20"/>
                  <w:u w:val="single"/>
                </w:rPr>
                <w:t>14</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73">
              <w:r>
                <w:rPr>
                  <w:rStyle w:val="InternetLink"/>
                  <w:rFonts w:ascii="Times New Roman;serif" w:hAnsi="Times New Roman;serif"/>
                  <w:b w:val="false"/>
                  <w:color w:val="0000FF"/>
                  <w:sz w:val="20"/>
                  <w:u w:val="single"/>
                </w:rPr>
                <w:t>15</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79">
              <w:r>
                <w:rPr>
                  <w:rStyle w:val="InternetLink"/>
                  <w:rFonts w:ascii="Times New Roman;serif" w:hAnsi="Times New Roman;serif"/>
                  <w:b w:val="false"/>
                  <w:color w:val="0000FF"/>
                  <w:sz w:val="20"/>
                  <w:u w:val="single"/>
                </w:rPr>
                <w:t>16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11.</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and Related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88">
              <w:r>
                <w:rPr>
                  <w:rStyle w:val="InternetLink"/>
                  <w:rFonts w:ascii="Times New Roman;serif" w:hAnsi="Times New Roman;serif"/>
                  <w:b w:val="false"/>
                  <w:color w:val="0000FF"/>
                  <w:sz w:val="20"/>
                  <w:u w:val="single"/>
                </w:rPr>
                <w:t>17</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12.</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Pensions and Other Postretirement Benefits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97">
              <w:r>
                <w:rPr>
                  <w:rStyle w:val="InternetLink"/>
                  <w:rFonts w:ascii="Times New Roman;serif" w:hAnsi="Times New Roman;serif"/>
                  <w:b w:val="false"/>
                  <w:color w:val="0000FF"/>
                  <w:sz w:val="20"/>
                  <w:u w:val="single"/>
                </w:rPr>
                <w:t>18</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Contingencies, and Uncertainties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00">
              <w:r>
                <w:rPr>
                  <w:rStyle w:val="InternetLink"/>
                  <w:rFonts w:ascii="Times New Roman;serif" w:hAnsi="Times New Roman;serif"/>
                  <w:b w:val="false"/>
                  <w:color w:val="0000FF"/>
                  <w:sz w:val="20"/>
                  <w:u w:val="single"/>
                </w:rPr>
                <w:t>18</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03">
              <w:r>
                <w:rPr>
                  <w:rStyle w:val="InternetLink"/>
                  <w:rFonts w:ascii="Times New Roman;serif" w:hAnsi="Times New Roman;serif"/>
                  <w:b w:val="false"/>
                  <w:color w:val="0000FF"/>
                  <w:sz w:val="20"/>
                  <w:u w:val="single"/>
                </w:rPr>
                <w:t>22</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15.</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Initiatives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06">
              <w:r>
                <w:rPr>
                  <w:rStyle w:val="InternetLink"/>
                  <w:rFonts w:ascii="Times New Roman;serif" w:hAnsi="Times New Roman;serif"/>
                  <w:b w:val="false"/>
                  <w:color w:val="0000FF"/>
                  <w:sz w:val="20"/>
                  <w:u w:val="single"/>
                </w:rPr>
                <w:t>22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16.</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and Noncontrolling Interests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09">
              <w:r>
                <w:rPr>
                  <w:rStyle w:val="InternetLink"/>
                  <w:rFonts w:ascii="Times New Roman;serif" w:hAnsi="Times New Roman;serif"/>
                  <w:b w:val="false"/>
                  <w:color w:val="0000FF"/>
                  <w:sz w:val="20"/>
                  <w:u w:val="single"/>
                </w:rPr>
                <w:t>22</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17.</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12">
              <w:r>
                <w:rPr>
                  <w:rStyle w:val="InternetLink"/>
                  <w:rFonts w:ascii="Times New Roman;serif" w:hAnsi="Times New Roman;serif"/>
                  <w:b w:val="false"/>
                  <w:color w:val="0000FF"/>
                  <w:sz w:val="20"/>
                  <w:u w:val="single"/>
                </w:rPr>
                <w:t>25</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18.</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Reporting</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18">
              <w:r>
                <w:rPr>
                  <w:rStyle w:val="InternetLink"/>
                  <w:rFonts w:ascii="Times New Roman;serif" w:hAnsi="Times New Roman;serif"/>
                  <w:b w:val="false"/>
                  <w:color w:val="0000FF"/>
                  <w:sz w:val="20"/>
                  <w:u w:val="single"/>
                </w:rPr>
                <w:t>25</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21">
              <w:r>
                <w:rPr>
                  <w:rStyle w:val="InternetLink"/>
                  <w:rFonts w:ascii="Times New Roman;serif" w:hAnsi="Times New Roman;serif"/>
                  <w:b w:val="false"/>
                  <w:color w:val="0000FF"/>
                  <w:sz w:val="20"/>
                  <w:u w:val="single"/>
                </w:rPr>
                <w:t>29</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78">
              <w:r>
                <w:rPr>
                  <w:rStyle w:val="InternetLink"/>
                  <w:rFonts w:ascii="Times New Roman;serif" w:hAnsi="Times New Roman;serif"/>
                  <w:b w:val="false"/>
                  <w:color w:val="0000FF"/>
                  <w:sz w:val="20"/>
                  <w:u w:val="single"/>
                </w:rPr>
                <w:t>47</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81">
              <w:r>
                <w:rPr>
                  <w:rStyle w:val="InternetLink"/>
                  <w:rFonts w:ascii="Times New Roman;serif" w:hAnsi="Times New Roman;serif"/>
                  <w:b w:val="false"/>
                  <w:color w:val="0000FF"/>
                  <w:sz w:val="20"/>
                  <w:u w:val="single"/>
                </w:rPr>
                <w:t>48</w:t>
              </w:r>
            </w:hyperlink>
          </w:p>
        </w:tc>
      </w:tr>
      <w:tr>
        <w:trPr/>
        <w:tc>
          <w:tcPr>
            <w:tcW w:w="88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87">
              <w:r>
                <w:rPr>
                  <w:rStyle w:val="InternetLink"/>
                  <w:rFonts w:ascii="Times New Roman;serif" w:hAnsi="Times New Roman;serif"/>
                  <w:b w:val="false"/>
                  <w:color w:val="0000FF"/>
                  <w:sz w:val="20"/>
                  <w:u w:val="single"/>
                </w:rPr>
                <w:t>49</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90">
              <w:r>
                <w:rPr>
                  <w:rStyle w:val="InternetLink"/>
                  <w:rFonts w:ascii="Times New Roman;serif" w:hAnsi="Times New Roman;serif"/>
                  <w:b w:val="false"/>
                  <w:color w:val="0000FF"/>
                  <w:sz w:val="20"/>
                  <w:u w:val="single"/>
                </w:rPr>
                <w:t>49</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93">
              <w:r>
                <w:rPr>
                  <w:rStyle w:val="InternetLink"/>
                  <w:rFonts w:ascii="Times New Roman;serif" w:hAnsi="Times New Roman;serif"/>
                  <w:b w:val="false"/>
                  <w:color w:val="0000FF"/>
                  <w:sz w:val="20"/>
                  <w:u w:val="single"/>
                </w:rPr>
                <w:t>49</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196">
              <w:r>
                <w:rPr>
                  <w:rStyle w:val="InternetLink"/>
                  <w:rFonts w:ascii="Times New Roman;serif" w:hAnsi="Times New Roman;serif"/>
                  <w:b w:val="false"/>
                  <w:color w:val="0000FF"/>
                  <w:sz w:val="20"/>
                  <w:u w:val="single"/>
                </w:rPr>
                <w:t>49</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Exhibits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202">
              <w:r>
                <w:rPr>
                  <w:rStyle w:val="InternetLink"/>
                  <w:rFonts w:ascii="Times New Roman;serif" w:hAnsi="Times New Roman;serif"/>
                  <w:b w:val="false"/>
                  <w:color w:val="0000FF"/>
                  <w:sz w:val="20"/>
                  <w:u w:val="single"/>
                </w:rPr>
                <w:t>50</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736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f3eefb289a49f3a34791c7f213ad87_205">
              <w:r>
                <w:rPr>
                  <w:rStyle w:val="InternetLink"/>
                  <w:rFonts w:ascii="Times New Roman;serif" w:hAnsi="Times New Roman;serif"/>
                  <w:b w:val="false"/>
                  <w:color w:val="0000FF"/>
                  <w:sz w:val="20"/>
                  <w:u w:val="single"/>
                </w:rPr>
                <w:t>51</w:t>
              </w:r>
            </w:hyperlink>
          </w:p>
        </w:tc>
      </w:tr>
    </w:tbl>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10205" w:type="dxa"/>
        <w:jc w:val="center"/>
        <w:tblInd w:w="0" w:type="dxa"/>
        <w:tblLayout w:type="fixed"/>
        <w:tblCellMar>
          <w:top w:w="28" w:type="dxa"/>
          <w:left w:w="28" w:type="dxa"/>
          <w:bottom w:w="28" w:type="dxa"/>
          <w:right w:w="28" w:type="dxa"/>
        </w:tblCellMar>
      </w:tblPr>
      <w:tblGrid>
        <w:gridCol w:w="1613"/>
        <w:gridCol w:w="1333"/>
        <w:gridCol w:w="1343"/>
        <w:gridCol w:w="250"/>
        <w:gridCol w:w="826"/>
        <w:gridCol w:w="139"/>
        <w:gridCol w:w="109"/>
        <w:gridCol w:w="109"/>
        <w:gridCol w:w="109"/>
        <w:gridCol w:w="250"/>
        <w:gridCol w:w="826"/>
        <w:gridCol w:w="139"/>
        <w:gridCol w:w="109"/>
        <w:gridCol w:w="109"/>
        <w:gridCol w:w="109"/>
        <w:gridCol w:w="231"/>
        <w:gridCol w:w="868"/>
        <w:gridCol w:w="128"/>
        <w:gridCol w:w="109"/>
        <w:gridCol w:w="109"/>
        <w:gridCol w:w="109"/>
        <w:gridCol w:w="229"/>
        <w:gridCol w:w="863"/>
        <w:gridCol w:w="186"/>
      </w:tblGrid>
      <w:tr>
        <w:trPr/>
        <w:tc>
          <w:tcPr>
            <w:tcW w:w="16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and revenue</w:t>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net sales and revenue (Note 2)</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141,665 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139,732 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Automotive and other cost of sales </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interest, operating, and other expenses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and other selling, general, and administrative expense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46,416 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133,681 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interest expense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 non-operating income,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income (loss) (Note 7)</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 (Note 14)</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noncontrolling interests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stockholders</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stockholders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per share (Note 17)</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1605"/>
        <w:gridCol w:w="1403"/>
        <w:gridCol w:w="1389"/>
        <w:gridCol w:w="272"/>
        <w:gridCol w:w="772"/>
        <w:gridCol w:w="150"/>
        <w:gridCol w:w="109"/>
        <w:gridCol w:w="109"/>
        <w:gridCol w:w="109"/>
        <w:gridCol w:w="272"/>
        <w:gridCol w:w="772"/>
        <w:gridCol w:w="150"/>
        <w:gridCol w:w="109"/>
        <w:gridCol w:w="109"/>
        <w:gridCol w:w="109"/>
        <w:gridCol w:w="272"/>
        <w:gridCol w:w="772"/>
        <w:gridCol w:w="150"/>
        <w:gridCol w:w="109"/>
        <w:gridCol w:w="109"/>
        <w:gridCol w:w="109"/>
        <w:gridCol w:w="268"/>
        <w:gridCol w:w="761"/>
        <w:gridCol w:w="216"/>
      </w:tblGrid>
      <w:tr>
        <w:trPr/>
        <w:tc>
          <w:tcPr>
            <w:tcW w:w="160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comprehensive income (loss), net of tax (Note 16)</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and other</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hedges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loss (income) attributable to noncontrolling interests </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stockholders</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Amounts may not add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9387" w:type="dxa"/>
        <w:jc w:val="left"/>
        <w:tblInd w:w="0" w:type="dxa"/>
        <w:tblLayout w:type="fixed"/>
        <w:tblCellMar>
          <w:top w:w="28" w:type="dxa"/>
          <w:left w:w="28" w:type="dxa"/>
          <w:bottom w:w="28" w:type="dxa"/>
          <w:right w:w="28" w:type="dxa"/>
        </w:tblCellMar>
      </w:tblPr>
      <w:tblGrid>
        <w:gridCol w:w="2166"/>
        <w:gridCol w:w="1897"/>
        <w:gridCol w:w="1907"/>
        <w:gridCol w:w="291"/>
        <w:gridCol w:w="1093"/>
        <w:gridCol w:w="161"/>
        <w:gridCol w:w="109"/>
        <w:gridCol w:w="109"/>
        <w:gridCol w:w="109"/>
        <w:gridCol w:w="279"/>
        <w:gridCol w:w="1047"/>
        <w:gridCol w:w="219"/>
      </w:tblGrid>
      <w:tr>
        <w:trPr/>
        <w:tc>
          <w:tcPr>
            <w:tcW w:w="216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(Note 3)</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 (Note 3)</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net of allowance of $234 and $244</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GM Financial receivables, net of allowance of $1,191 and $1,168 (Note 4; Note 8)</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Inventories (Note 5)</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 (Note 3; Note 8)</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108,767 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GM Financial receivables, net of allowance of $1,704 and $1,557 (Note 4; Note 8)</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net assets of nonconsolidated affiliates (Note 7)</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net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Equipment on operating leases, net (Note 6; Note 8)</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(Note 3; Note 8)</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173,315 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172,517 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289,183 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281,284 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(principally trade)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debt and current portion of long-term debt (Note 9)</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Automotive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GM Financial (Note 8)</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106,330 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93,342 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(Note 9)</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Automotive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GM Financial (Note 8)</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Postretirement benefits other than pensions (Note 12)</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Pensions (Note 12)</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118,335 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124,775 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3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224,664 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218,116 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contingencies, and uncertainties (Note 13)</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Equity (Note 16)</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61,119 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64,518 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63,168 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289,183 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281,284 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9070" w:type="dxa"/>
        <w:jc w:val="center"/>
        <w:tblInd w:w="0" w:type="dxa"/>
        <w:tblLayout w:type="fixed"/>
        <w:tblCellMar>
          <w:top w:w="28" w:type="dxa"/>
          <w:left w:w="28" w:type="dxa"/>
          <w:bottom w:w="28" w:type="dxa"/>
          <w:right w:w="28" w:type="dxa"/>
        </w:tblCellMar>
      </w:tblPr>
      <w:tblGrid>
        <w:gridCol w:w="2031"/>
        <w:gridCol w:w="1782"/>
        <w:gridCol w:w="1796"/>
        <w:gridCol w:w="318"/>
        <w:gridCol w:w="1050"/>
        <w:gridCol w:w="177"/>
        <w:gridCol w:w="109"/>
        <w:gridCol w:w="109"/>
        <w:gridCol w:w="109"/>
        <w:gridCol w:w="313"/>
        <w:gridCol w:w="1031"/>
        <w:gridCol w:w="245"/>
      </w:tblGrid>
      <w:tr>
        <w:trPr/>
        <w:tc>
          <w:tcPr>
            <w:tcW w:w="203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impairment of Equipment on operating leases, net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impairment charges on Property,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remeasurement and transaction (gains) losses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Undistributed earnings of nonconsolidated affiliates,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contributions and OPEB payments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OPEB (income) expense,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deferred taxes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operating assets and liabilities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20,072 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property</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marketable securities, acquisitions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marketable securities, liquidations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finance receivables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and recoveries on finance receivables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finance receivables (Note 4)</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leased vehicles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termination of leased vehicles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1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(6,556)</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short-term debt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(original maturities greater than three months)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 (original maturities greater than three months)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to purchase common stock (Note 16)</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(redemption) of subsidiary stock (Note 16)</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(7,295)</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27,024 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Significant non-cash investing and financing activity</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property additions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shd w:fill="FFFFFF" w:val="clear"/>
        </w:rPr>
        <w:t>Reference should</w:t>
      </w:r>
      <w:r>
        <w:rPr>
          <w:color w:val="000000"/>
        </w:rPr>
        <w:t xml:space="preserve"> </w:t>
      </w:r>
      <w:r>
        <w:rPr>
          <w:rFonts w:ascii="Times New Roman;serif" w:hAnsi="Times New Roman;serif"/>
          <w:b w:val="false"/>
          <w:color w:val="000000"/>
          <w:sz w:val="20"/>
        </w:rPr>
        <w:t xml:space="preserve">be made to </w:t>
      </w:r>
      <w:r>
        <w:rPr>
          <w:rFonts w:ascii="Times New Roman;serif" w:hAnsi="Times New Roman;serif"/>
          <w:b w:val="false"/>
          <w:color w:val="000000"/>
          <w:sz w:val="20"/>
          <w:shd w:fill="FFFFFF" w:val="clear"/>
        </w:rPr>
        <w:t>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857"/>
        <w:gridCol w:w="471"/>
        <w:gridCol w:w="473"/>
        <w:gridCol w:w="221"/>
        <w:gridCol w:w="373"/>
        <w:gridCol w:w="123"/>
        <w:gridCol w:w="109"/>
        <w:gridCol w:w="109"/>
        <w:gridCol w:w="109"/>
        <w:gridCol w:w="231"/>
        <w:gridCol w:w="764"/>
        <w:gridCol w:w="128"/>
        <w:gridCol w:w="109"/>
        <w:gridCol w:w="109"/>
        <w:gridCol w:w="109"/>
        <w:gridCol w:w="208"/>
        <w:gridCol w:w="688"/>
        <w:gridCol w:w="116"/>
        <w:gridCol w:w="109"/>
        <w:gridCol w:w="109"/>
        <w:gridCol w:w="109"/>
        <w:gridCol w:w="261"/>
        <w:gridCol w:w="959"/>
        <w:gridCol w:w="145"/>
        <w:gridCol w:w="109"/>
        <w:gridCol w:w="109"/>
        <w:gridCol w:w="109"/>
        <w:gridCol w:w="261"/>
        <w:gridCol w:w="742"/>
        <w:gridCol w:w="146"/>
        <w:gridCol w:w="109"/>
        <w:gridCol w:w="109"/>
        <w:gridCol w:w="109"/>
        <w:gridCol w:w="210"/>
        <w:gridCol w:w="695"/>
        <w:gridCol w:w="117"/>
        <w:gridCol w:w="109"/>
        <w:gridCol w:w="109"/>
        <w:gridCol w:w="163"/>
      </w:tblGrid>
      <w:tr>
        <w:trPr/>
        <w:tc>
          <w:tcPr>
            <w:tcW w:w="85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br/>
              <w:t>(Permanent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(11,253)</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(redemption) of subsidiary stock (Note 16)</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55,140 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(11,122)</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(10,932)</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68,459 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68,402 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53,386 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(10,277)</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64,694 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19,185 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52,990 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(10,183)</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63,641 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2026</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18,749 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54,210 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(10,162)</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64,518 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Amounts may not add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 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We also provide automotive financing services through General Motors Financial Company, Inc. (GM Financial). We analyze the results of our operations through the following segments: GM North America (GMNA), GM International (GMI), and GM Financial. In December 2024, we announced that we would no longer fund Cruise's robotaxi development work and will refocus our autonomous driving strategy on personal vehicles, and, in February 2025 we completed the acquisition of the noncontrolling interests in Cruise, began to wind down the Cruise robotaxi operations, and combined the GM and Cruise autonomous technical efforts in our GMNA segment. Corporate includes certain centrally recorded income and costs such as interest, income taxes, corporate expenditures, and certain revenues and expenses that are not part of a reportable segment.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Annual Report on Form 10-K for the fiscal year ended December 31, 2025 (2025 Form 10-K). Except for per share amounts or as otherwise specified, amounts presented within tables are stated in millions. Certain columns and rows may not add due to rounding.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Principles of Consolidation </w:t>
      </w:r>
      <w:r>
        <w:rPr>
          <w:rFonts w:ascii="Times New Roman;serif" w:hAnsi="Times New Roman;serif"/>
          <w:b w:val="false"/>
          <w:color w:val="000000"/>
          <w:sz w:val="20"/>
        </w:rPr>
        <w:t>We consolidate entities that we control due to ownership of a majority voting interest and we consolidate variable interest 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GM Financial</w:t>
      </w:r>
      <w:r>
        <w:rPr>
          <w:color w:val="000000"/>
        </w:rPr>
        <w:t xml:space="preserve"> </w:t>
      </w:r>
      <w:r>
        <w:rPr>
          <w:rFonts w:ascii="Times New Roman;serif" w:hAnsi="Times New Roman;serif"/>
          <w:b w:val="false"/>
          <w:color w:val="000000"/>
          <w:sz w:val="20"/>
        </w:rPr>
        <w:t>The amounts presented for GM Financial are adjusted to reflect the impact on GM Financial's deferred tax positions and provision for 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Accounting Standards Not Yet Adopted </w:t>
      </w:r>
      <w:r>
        <w:rPr>
          <w:rFonts w:ascii="Times New Roman;serif" w:hAnsi="Times New Roman;serif"/>
          <w:b w:val="false"/>
          <w:color w:val="000000"/>
          <w:sz w:val="20"/>
        </w:rPr>
        <w:t>In May 2026, the Financial Accounting Standards Board issued ASU 2026-02 "Environmental Credits and Environmental Credit Obligations (Topic 818)" (ASU 2026-02), which establishes authoritative guidance for the recognition, measurement, presentation, and disclosure of environmental credits and environmental credit obligations. This update is effective for interim and annual periods beginning after December 15, 2027, with early adoption permitted. We are currently evaluating the impact of the adoption of ASU 2026-02 on our condensed consolidated financial statements and the ultimate impact may continue to be affected by actions taken by the U.S. Government that may change regulations relating to fuel economy and emissions standards. Refer to Note 13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pPr>
      <w:r>
        <w:rPr>
          <w:rFonts w:ascii="Times New Roman;serif" w:hAnsi="Times New Roman;serif"/>
          <w:b/>
          <w:color w:val="000000"/>
          <w:sz w:val="20"/>
        </w:rPr>
        <w:t>Note 2. Revenue</w:t>
      </w:r>
      <w:r>
        <w:rPr>
          <w:color w:val="000000"/>
        </w:rPr>
        <w:t xml:space="preserve"> </w:t>
      </w:r>
    </w:p>
    <w:p>
      <w:pPr>
        <w:pStyle w:val="TextBody"/>
        <w:bidi w:val="0"/>
        <w:spacing w:before="0" w:after="0"/>
        <w:ind w:left="0" w:right="0" w:hanging="18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by major source:</w:t>
      </w:r>
    </w:p>
    <w:tbl>
      <w:tblPr>
        <w:tblW w:w="10205" w:type="dxa"/>
        <w:jc w:val="center"/>
        <w:tblInd w:w="0" w:type="dxa"/>
        <w:tblLayout w:type="fixed"/>
        <w:tblCellMar>
          <w:top w:w="28" w:type="dxa"/>
          <w:left w:w="28" w:type="dxa"/>
          <w:bottom w:w="28" w:type="dxa"/>
          <w:right w:w="28" w:type="dxa"/>
        </w:tblCellMar>
      </w:tblPr>
      <w:tblGrid>
        <w:gridCol w:w="424"/>
        <w:gridCol w:w="336"/>
        <w:gridCol w:w="338"/>
        <w:gridCol w:w="196"/>
        <w:gridCol w:w="646"/>
        <w:gridCol w:w="109"/>
        <w:gridCol w:w="109"/>
        <w:gridCol w:w="109"/>
        <w:gridCol w:w="109"/>
        <w:gridCol w:w="196"/>
        <w:gridCol w:w="556"/>
        <w:gridCol w:w="109"/>
        <w:gridCol w:w="109"/>
        <w:gridCol w:w="109"/>
        <w:gridCol w:w="109"/>
        <w:gridCol w:w="235"/>
        <w:gridCol w:w="505"/>
        <w:gridCol w:w="131"/>
        <w:gridCol w:w="109"/>
        <w:gridCol w:w="109"/>
        <w:gridCol w:w="109"/>
        <w:gridCol w:w="205"/>
        <w:gridCol w:w="676"/>
        <w:gridCol w:w="115"/>
        <w:gridCol w:w="109"/>
        <w:gridCol w:w="109"/>
        <w:gridCol w:w="109"/>
        <w:gridCol w:w="109"/>
        <w:gridCol w:w="109"/>
        <w:gridCol w:w="200"/>
        <w:gridCol w:w="569"/>
        <w:gridCol w:w="111"/>
        <w:gridCol w:w="109"/>
        <w:gridCol w:w="109"/>
        <w:gridCol w:w="109"/>
        <w:gridCol w:w="376"/>
        <w:gridCol w:w="781"/>
        <w:gridCol w:w="210"/>
        <w:gridCol w:w="109"/>
        <w:gridCol w:w="109"/>
        <w:gridCol w:w="109"/>
        <w:gridCol w:w="196"/>
        <w:gridCol w:w="646"/>
        <w:gridCol w:w="159"/>
      </w:tblGrid>
      <w:tr>
        <w:trPr/>
        <w:tc>
          <w:tcPr>
            <w:tcW w:w="4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1328" w:type="dxa"/>
            <w:gridSpan w:val="6"/>
            <w:tcBorders/>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753" w:type="dxa"/>
        <w:jc w:val="center"/>
        <w:tblInd w:w="0" w:type="dxa"/>
        <w:tblLayout w:type="fixed"/>
        <w:tblCellMar>
          <w:top w:w="28" w:type="dxa"/>
          <w:left w:w="28" w:type="dxa"/>
          <w:bottom w:w="28" w:type="dxa"/>
          <w:right w:w="28" w:type="dxa"/>
        </w:tblCellMar>
      </w:tblPr>
      <w:tblGrid>
        <w:gridCol w:w="377"/>
        <w:gridCol w:w="291"/>
        <w:gridCol w:w="293"/>
        <w:gridCol w:w="196"/>
        <w:gridCol w:w="646"/>
        <w:gridCol w:w="109"/>
        <w:gridCol w:w="109"/>
        <w:gridCol w:w="109"/>
        <w:gridCol w:w="109"/>
        <w:gridCol w:w="196"/>
        <w:gridCol w:w="556"/>
        <w:gridCol w:w="109"/>
        <w:gridCol w:w="109"/>
        <w:gridCol w:w="109"/>
        <w:gridCol w:w="109"/>
        <w:gridCol w:w="268"/>
        <w:gridCol w:w="453"/>
        <w:gridCol w:w="150"/>
        <w:gridCol w:w="109"/>
        <w:gridCol w:w="109"/>
        <w:gridCol w:w="109"/>
        <w:gridCol w:w="198"/>
        <w:gridCol w:w="652"/>
        <w:gridCol w:w="111"/>
        <w:gridCol w:w="109"/>
        <w:gridCol w:w="109"/>
        <w:gridCol w:w="109"/>
        <w:gridCol w:w="196"/>
        <w:gridCol w:w="406"/>
        <w:gridCol w:w="109"/>
        <w:gridCol w:w="109"/>
        <w:gridCol w:w="109"/>
        <w:gridCol w:w="109"/>
        <w:gridCol w:w="196"/>
        <w:gridCol w:w="556"/>
        <w:gridCol w:w="109"/>
        <w:gridCol w:w="109"/>
        <w:gridCol w:w="109"/>
        <w:gridCol w:w="109"/>
        <w:gridCol w:w="355"/>
        <w:gridCol w:w="737"/>
        <w:gridCol w:w="199"/>
        <w:gridCol w:w="109"/>
        <w:gridCol w:w="109"/>
        <w:gridCol w:w="109"/>
        <w:gridCol w:w="196"/>
        <w:gridCol w:w="646"/>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73" w:type="dxa"/>
        <w:jc w:val="left"/>
        <w:tblInd w:w="0" w:type="dxa"/>
        <w:tblLayout w:type="fixed"/>
        <w:tblCellMar>
          <w:top w:w="28" w:type="dxa"/>
          <w:left w:w="28" w:type="dxa"/>
          <w:bottom w:w="28" w:type="dxa"/>
          <w:right w:w="28" w:type="dxa"/>
        </w:tblCellMar>
      </w:tblPr>
      <w:tblGrid>
        <w:gridCol w:w="377"/>
        <w:gridCol w:w="291"/>
        <w:gridCol w:w="293"/>
        <w:gridCol w:w="196"/>
        <w:gridCol w:w="736"/>
        <w:gridCol w:w="109"/>
        <w:gridCol w:w="109"/>
        <w:gridCol w:w="109"/>
        <w:gridCol w:w="109"/>
        <w:gridCol w:w="196"/>
        <w:gridCol w:w="646"/>
        <w:gridCol w:w="109"/>
        <w:gridCol w:w="109"/>
        <w:gridCol w:w="109"/>
        <w:gridCol w:w="109"/>
        <w:gridCol w:w="235"/>
        <w:gridCol w:w="505"/>
        <w:gridCol w:w="131"/>
        <w:gridCol w:w="109"/>
        <w:gridCol w:w="109"/>
        <w:gridCol w:w="109"/>
        <w:gridCol w:w="196"/>
        <w:gridCol w:w="736"/>
        <w:gridCol w:w="109"/>
        <w:gridCol w:w="109"/>
        <w:gridCol w:w="109"/>
        <w:gridCol w:w="109"/>
        <w:gridCol w:w="109"/>
        <w:gridCol w:w="109"/>
        <w:gridCol w:w="196"/>
        <w:gridCol w:w="646"/>
        <w:gridCol w:w="109"/>
        <w:gridCol w:w="109"/>
        <w:gridCol w:w="109"/>
        <w:gridCol w:w="109"/>
        <w:gridCol w:w="355"/>
        <w:gridCol w:w="737"/>
        <w:gridCol w:w="199"/>
        <w:gridCol w:w="109"/>
        <w:gridCol w:w="109"/>
        <w:gridCol w:w="109"/>
        <w:gridCol w:w="196"/>
        <w:gridCol w:w="736"/>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1413"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11103" w:type="dxa"/>
        <w:jc w:val="left"/>
        <w:tblInd w:w="0" w:type="dxa"/>
        <w:tblLayout w:type="fixed"/>
        <w:tblCellMar>
          <w:top w:w="28" w:type="dxa"/>
          <w:left w:w="28" w:type="dxa"/>
          <w:bottom w:w="28" w:type="dxa"/>
          <w:right w:w="28" w:type="dxa"/>
        </w:tblCellMar>
      </w:tblPr>
      <w:tblGrid>
        <w:gridCol w:w="377"/>
        <w:gridCol w:w="291"/>
        <w:gridCol w:w="293"/>
        <w:gridCol w:w="196"/>
        <w:gridCol w:w="736"/>
        <w:gridCol w:w="109"/>
        <w:gridCol w:w="109"/>
        <w:gridCol w:w="109"/>
        <w:gridCol w:w="109"/>
        <w:gridCol w:w="196"/>
        <w:gridCol w:w="556"/>
        <w:gridCol w:w="109"/>
        <w:gridCol w:w="109"/>
        <w:gridCol w:w="109"/>
        <w:gridCol w:w="109"/>
        <w:gridCol w:w="235"/>
        <w:gridCol w:w="505"/>
        <w:gridCol w:w="131"/>
        <w:gridCol w:w="109"/>
        <w:gridCol w:w="109"/>
        <w:gridCol w:w="109"/>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355"/>
        <w:gridCol w:w="737"/>
        <w:gridCol w:w="199"/>
        <w:gridCol w:w="109"/>
        <w:gridCol w:w="109"/>
        <w:gridCol w:w="109"/>
        <w:gridCol w:w="196"/>
        <w:gridCol w:w="736"/>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we expect to receive in exchange for transferring goods or providing services. Adjustments to sales incentives for previously recognized sales were insignificant in the three months ended September 30, 2026 and 2025.</w:t>
      </w:r>
    </w:p>
    <w:p>
      <w:pPr>
        <w:pStyle w:val="TextBody"/>
        <w:bidi w:val="0"/>
        <w:spacing w:before="0" w:after="0"/>
        <w:jc w:val="left"/>
        <w:rPr/>
      </w:pPr>
      <w:r>
        <w:rPr/>
      </w:r>
    </w:p>
    <w:p>
      <w:pPr>
        <w:pStyle w:val="TextBody"/>
        <w:bidi w:val="0"/>
        <w:spacing w:lineRule="auto" w:line="288" w:before="0" w:after="16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Contract liabilities in our Automotive operations primarily consist of vehicle connectivity, customer rewards programs, maintenance, extended warranty, and other contracts of $9.6 billion and $8.2 billion at September 30, 2026 and December 31, 2025, which are included in Accrued liabilities and Other liabilities. We recognized revenue of $673 million and $2.2 billion related to contract liabilities in the three and nine months ended September 30, 2026 and $786 million and $2.0 billion in the three and nine months ended September 30, 2025. We expect to recognize revenue of $856 million in the three months ending December 31, 2026 and $2.4 billion, $1.7 billion, and $4.7 billion in the years ending December 31, 2027, 2028, and thereafter related to contract liabilities at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Marketable and Other Securities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cash equivalents and marketable debt securities, which approximates cost:</w:t>
      </w:r>
    </w:p>
    <w:tbl>
      <w:tblPr>
        <w:tblW w:w="10205" w:type="dxa"/>
        <w:jc w:val="center"/>
        <w:tblInd w:w="0" w:type="dxa"/>
        <w:tblLayout w:type="fixed"/>
        <w:tblCellMar>
          <w:top w:w="28" w:type="dxa"/>
          <w:left w:w="28" w:type="dxa"/>
          <w:bottom w:w="28" w:type="dxa"/>
          <w:right w:w="28" w:type="dxa"/>
        </w:tblCellMar>
      </w:tblPr>
      <w:tblGrid>
        <w:gridCol w:w="1895"/>
        <w:gridCol w:w="1645"/>
        <w:gridCol w:w="1652"/>
        <w:gridCol w:w="442"/>
        <w:gridCol w:w="442"/>
        <w:gridCol w:w="445"/>
        <w:gridCol w:w="109"/>
        <w:gridCol w:w="109"/>
        <w:gridCol w:w="109"/>
        <w:gridCol w:w="306"/>
        <w:gridCol w:w="1047"/>
        <w:gridCol w:w="157"/>
        <w:gridCol w:w="109"/>
        <w:gridCol w:w="109"/>
        <w:gridCol w:w="109"/>
        <w:gridCol w:w="294"/>
        <w:gridCol w:w="1006"/>
        <w:gridCol w:w="220"/>
      </w:tblGrid>
      <w:tr>
        <w:trPr/>
        <w:tc>
          <w:tcPr>
            <w:tcW w:w="189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time deposits</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agencies</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Sovereign debt</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 – cash equivalents</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Marketable debt securities</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agencies</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and other</w:t>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 – marketable securities</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Available-for-sale debt securities included above with contractual maturities(a)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and five years</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 with contractual maturities</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(a)Excludes mortgage and asset-backed securities as these securities are not due at a single maturity date.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Proceeds from the sale of available-for-sale debt securities sold prior to maturity were</w:t>
      </w:r>
      <w:r>
        <w:rPr>
          <w:color w:val="000000"/>
          <w:shd w:fill="FFFFFF" w:val="clear"/>
        </w:rPr>
        <w:t xml:space="preserve"> </w:t>
      </w:r>
      <w:r>
        <w:rPr>
          <w:rFonts w:ascii="Times New Roman;serif" w:hAnsi="Times New Roman;serif"/>
          <w:b w:val="false"/>
          <w:color w:val="000000"/>
          <w:sz w:val="20"/>
        </w:rPr>
        <w:t>$591 million and $547 million in the three months ended September 30, 2026 and 2025 and $3.9 billion and $2.7 billion in the nine months ended September 30, 2026 and 2025. Net unrealized gains and losses on available-for-sale debt securities were insignificant in the three and nine months ended September 30, 2026 and 2025. Cumulative unrealized losses</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n available-for-sale debt securities were insignificant at September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to the total shown in the condensed consolidated statements of cash flows:</w:t>
      </w:r>
    </w:p>
    <w:tbl>
      <w:tblPr>
        <w:tblW w:w="7360" w:type="dxa"/>
        <w:jc w:val="left"/>
        <w:tblInd w:w="0" w:type="dxa"/>
        <w:tblLayout w:type="fixed"/>
        <w:tblCellMar>
          <w:top w:w="28" w:type="dxa"/>
          <w:left w:w="28" w:type="dxa"/>
          <w:bottom w:w="28" w:type="dxa"/>
          <w:right w:w="28" w:type="dxa"/>
        </w:tblCellMar>
      </w:tblPr>
      <w:tblGrid>
        <w:gridCol w:w="1429"/>
        <w:gridCol w:w="1254"/>
        <w:gridCol w:w="1261"/>
        <w:gridCol w:w="313"/>
        <w:gridCol w:w="1070"/>
        <w:gridCol w:w="161"/>
        <w:gridCol w:w="109"/>
        <w:gridCol w:w="109"/>
        <w:gridCol w:w="109"/>
        <w:gridCol w:w="300"/>
        <w:gridCol w:w="1026"/>
        <w:gridCol w:w="21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Note 4. GM Financial Receivables and Transactions </w:t>
      </w:r>
    </w:p>
    <w:tbl>
      <w:tblPr>
        <w:tblW w:w="10205" w:type="dxa"/>
        <w:jc w:val="left"/>
        <w:tblInd w:w="0" w:type="dxa"/>
        <w:tblLayout w:type="fixed"/>
        <w:tblCellMar>
          <w:top w:w="28" w:type="dxa"/>
          <w:left w:w="28" w:type="dxa"/>
          <w:bottom w:w="28" w:type="dxa"/>
          <w:right w:w="28" w:type="dxa"/>
        </w:tblCellMar>
      </w:tblPr>
      <w:tblGrid>
        <w:gridCol w:w="810"/>
        <w:gridCol w:w="683"/>
        <w:gridCol w:w="686"/>
        <w:gridCol w:w="211"/>
        <w:gridCol w:w="721"/>
        <w:gridCol w:w="109"/>
        <w:gridCol w:w="109"/>
        <w:gridCol w:w="109"/>
        <w:gridCol w:w="109"/>
        <w:gridCol w:w="220"/>
        <w:gridCol w:w="754"/>
        <w:gridCol w:w="114"/>
        <w:gridCol w:w="109"/>
        <w:gridCol w:w="109"/>
        <w:gridCol w:w="109"/>
        <w:gridCol w:w="211"/>
        <w:gridCol w:w="721"/>
        <w:gridCol w:w="109"/>
        <w:gridCol w:w="109"/>
        <w:gridCol w:w="109"/>
        <w:gridCol w:w="109"/>
        <w:gridCol w:w="211"/>
        <w:gridCol w:w="721"/>
        <w:gridCol w:w="109"/>
        <w:gridCol w:w="109"/>
        <w:gridCol w:w="109"/>
        <w:gridCol w:w="109"/>
        <w:gridCol w:w="220"/>
        <w:gridCol w:w="754"/>
        <w:gridCol w:w="114"/>
        <w:gridCol w:w="109"/>
        <w:gridCol w:w="109"/>
        <w:gridCol w:w="109"/>
        <w:gridCol w:w="211"/>
        <w:gridCol w:w="721"/>
        <w:gridCol w:w="160"/>
      </w:tblGrid>
      <w:tr>
        <w:trPr/>
        <w:tc>
          <w:tcPr>
            <w:tcW w:w="8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receivables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receivables,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GM Financial receivables utilizing Level 2 inputs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GM Financial receivables utilizing Level 3 inputs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(a)Commercial finance receivables include dealer financing of $17.2 billion and $16.4 billion, and other financing of $450 million and $596 million at September 30, 2026 and December 31, 2025. Commercial finance receivables are presented net of dealer cash management balances of $3.6 billion and $3.4 billion at September 30, 2026 and December 31, 2025. Under the cash management program, subject to certain conditions, a dealer may choose to reduce the amount of interest on its floorplan line by making principal payments to GM Financial in advance.</w:t>
      </w:r>
    </w:p>
    <w:tbl>
      <w:tblPr>
        <w:tblW w:w="10205" w:type="dxa"/>
        <w:jc w:val="left"/>
        <w:tblInd w:w="0" w:type="dxa"/>
        <w:tblLayout w:type="fixed"/>
        <w:tblCellMar>
          <w:top w:w="28" w:type="dxa"/>
          <w:left w:w="28" w:type="dxa"/>
          <w:bottom w:w="28" w:type="dxa"/>
          <w:right w:w="28" w:type="dxa"/>
        </w:tblCellMar>
      </w:tblPr>
      <w:tblGrid>
        <w:gridCol w:w="1266"/>
        <w:gridCol w:w="1098"/>
        <w:gridCol w:w="1105"/>
        <w:gridCol w:w="321"/>
        <w:gridCol w:w="939"/>
        <w:gridCol w:w="166"/>
        <w:gridCol w:w="109"/>
        <w:gridCol w:w="109"/>
        <w:gridCol w:w="109"/>
        <w:gridCol w:w="321"/>
        <w:gridCol w:w="939"/>
        <w:gridCol w:w="166"/>
        <w:gridCol w:w="109"/>
        <w:gridCol w:w="109"/>
        <w:gridCol w:w="109"/>
        <w:gridCol w:w="321"/>
        <w:gridCol w:w="939"/>
        <w:gridCol w:w="166"/>
        <w:gridCol w:w="109"/>
        <w:gridCol w:w="109"/>
        <w:gridCol w:w="109"/>
        <w:gridCol w:w="316"/>
        <w:gridCol w:w="924"/>
        <w:gridCol w:w="237"/>
      </w:tblGrid>
      <w:tr>
        <w:trPr/>
        <w:tc>
          <w:tcPr>
            <w:tcW w:w="12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 at beginning of period</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 at end of period</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allowance for loan losses as a percentage of finance receivables was 3.1% and 2.9% at September 30, 2026 and December 31, 2025. The increase in the allowance for retail loan losses as a percentage of retail finance receivables is primarily due to changes in the composition of credit mix of the portfolio.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Retail Finance Receivables</w:t>
      </w:r>
      <w:r>
        <w:rPr>
          <w:color w:val="000000"/>
        </w:rPr>
        <w:t xml:space="preserve"> </w:t>
      </w:r>
      <w:r>
        <w:rPr>
          <w:rFonts w:ascii="Times New Roman;serif" w:hAnsi="Times New Roman;serif"/>
          <w:b w:val="false"/>
          <w:color w:val="000000"/>
          <w:sz w:val="20"/>
        </w:rPr>
        <w:t>GM Financial's retail finance receivables portfolio includes loans made to consumers and businesses to finance the purchase of vehicles for personal and commercial use. The following tables are consolidated summaries of the retail finance receivables by FICO score or its equivalent, determined at origination, for each vintage of the retail finance receivables portfolio at September 30, 2026 and December 31, 2025:</w:t>
      </w:r>
    </w:p>
    <w:tbl>
      <w:tblPr>
        <w:tblW w:w="11229" w:type="dxa"/>
        <w:jc w:val="left"/>
        <w:tblInd w:w="0" w:type="dxa"/>
        <w:tblLayout w:type="fixed"/>
        <w:tblCellMar>
          <w:top w:w="28" w:type="dxa"/>
          <w:left w:w="28" w:type="dxa"/>
          <w:bottom w:w="28" w:type="dxa"/>
          <w:right w:w="28" w:type="dxa"/>
        </w:tblCellMar>
      </w:tblPr>
      <w:tblGrid>
        <w:gridCol w:w="585"/>
        <w:gridCol w:w="225"/>
        <w:gridCol w:w="22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307"/>
        <w:gridCol w:w="309"/>
        <w:gridCol w:w="316"/>
      </w:tblGrid>
      <w:tr>
        <w:trPr/>
        <w:tc>
          <w:tcPr>
            <w:tcW w:w="5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 FICO score 680 and greater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Near-prime – FICO score 620 to 679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Sub-prime – FICO score less than 620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1447" w:type="dxa"/>
        <w:jc w:val="left"/>
        <w:tblInd w:w="0" w:type="dxa"/>
        <w:tblLayout w:type="fixed"/>
        <w:tblCellMar>
          <w:top w:w="28" w:type="dxa"/>
          <w:left w:w="28" w:type="dxa"/>
          <w:bottom w:w="28" w:type="dxa"/>
          <w:right w:w="28" w:type="dxa"/>
        </w:tblCellMar>
      </w:tblPr>
      <w:tblGrid>
        <w:gridCol w:w="585"/>
        <w:gridCol w:w="225"/>
        <w:gridCol w:w="22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721"/>
        <w:gridCol w:w="109"/>
        <w:gridCol w:w="109"/>
        <w:gridCol w:w="109"/>
        <w:gridCol w:w="109"/>
        <w:gridCol w:w="307"/>
        <w:gridCol w:w="309"/>
        <w:gridCol w:w="316"/>
      </w:tblGrid>
      <w:tr>
        <w:trPr/>
        <w:tc>
          <w:tcPr>
            <w:tcW w:w="5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 FICO score 680 and greater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Near-prime – FICO score 620 to 679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Sub-prime – FICO score less than 620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$1.1 billion at September 30, 2026 and December 31, 2025. The following tables are consolidated summaries of the delinquency status of the outstanding amortized cost basis of retail finance receivables for each vintage of the portfolio at September 30, 2026 and December 31, 2025, as well as summary totals for September 30, 2025:</w:t>
      </w:r>
    </w:p>
    <w:tbl>
      <w:tblPr>
        <w:tblW w:w="13346" w:type="dxa"/>
        <w:jc w:val="left"/>
        <w:tblInd w:w="0" w:type="dxa"/>
        <w:tblLayout w:type="fixed"/>
        <w:tblCellMar>
          <w:top w:w="28" w:type="dxa"/>
          <w:left w:w="28" w:type="dxa"/>
          <w:bottom w:w="28" w:type="dxa"/>
          <w:right w:w="28" w:type="dxa"/>
        </w:tblCellMar>
      </w:tblPr>
      <w:tblGrid>
        <w:gridCol w:w="449"/>
        <w:gridCol w:w="397"/>
        <w:gridCol w:w="34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278"/>
        <w:gridCol w:w="278"/>
        <w:gridCol w:w="357"/>
        <w:gridCol w:w="109"/>
        <w:gridCol w:w="109"/>
        <w:gridCol w:w="109"/>
        <w:gridCol w:w="196"/>
        <w:gridCol w:w="646"/>
        <w:gridCol w:w="109"/>
        <w:gridCol w:w="109"/>
        <w:gridCol w:w="109"/>
        <w:gridCol w:w="109"/>
        <w:gridCol w:w="278"/>
        <w:gridCol w:w="278"/>
        <w:gridCol w:w="410"/>
      </w:tblGrid>
      <w:tr>
        <w:trPr/>
        <w:tc>
          <w:tcPr>
            <w:tcW w:w="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0-to-30 days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31-to-60 days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Greater-than-60 days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repossession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 or in repossession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1256" w:type="dxa"/>
        <w:jc w:val="left"/>
        <w:tblInd w:w="0" w:type="dxa"/>
        <w:tblLayout w:type="fixed"/>
        <w:tblCellMar>
          <w:top w:w="28" w:type="dxa"/>
          <w:left w:w="28" w:type="dxa"/>
          <w:bottom w:w="28" w:type="dxa"/>
          <w:right w:w="28" w:type="dxa"/>
        </w:tblCellMar>
      </w:tblPr>
      <w:tblGrid>
        <w:gridCol w:w="449"/>
        <w:gridCol w:w="397"/>
        <w:gridCol w:w="34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646"/>
        <w:gridCol w:w="109"/>
        <w:gridCol w:w="109"/>
        <w:gridCol w:w="109"/>
        <w:gridCol w:w="109"/>
        <w:gridCol w:w="278"/>
        <w:gridCol w:w="278"/>
        <w:gridCol w:w="357"/>
        <w:gridCol w:w="109"/>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0-to-30 days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31-to-60 days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Greater-than-60 days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repossession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 or in repossession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Commercial Finance Receivables</w:t>
      </w:r>
      <w:r>
        <w:rPr>
          <w:color w:val="000000"/>
        </w:rPr>
        <w:t xml:space="preserve"> </w:t>
      </w:r>
      <w:r>
        <w:rPr>
          <w:rFonts w:ascii="Times New Roman;serif" w:hAnsi="Times New Roman;serif"/>
          <w:b w:val="false"/>
          <w:color w:val="000000"/>
          <w:sz w:val="20"/>
        </w:rPr>
        <w:t>GM Financial's commercial finance receivables consist of dealer financing, primarily for dealer inventory purchases, 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dealer risk model and risk rating categories are as follows:</w:t>
      </w:r>
    </w:p>
    <w:tbl>
      <w:tblPr>
        <w:tblW w:w="10205"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2733"/>
        <w:gridCol w:w="2661"/>
        <w:gridCol w:w="379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Performing accounts with strong to acceptable financial metrics with at least satisfactory capacity to meet financial commitments.</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Performing accounts experiencing potential weakness in financial metrics and repayment prospects resulting in increased monitoring.</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accounts with inadequate paying capacity for current obligations and that have the distinct possibility of creating a loss if deficiencies are not corrected.</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accounts with inadequate paying capacity for current obligations and inherent weaknesses that make collection or liquidation in full highly questionable or improbable.</w:t>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Dealers with III and IV risk ratings are subject to additional monitoring and restrictions on funding, including suspension of lines of credit and liquidation of assets. The following tables summarize the dealer finance receivables portfolio by dealer risk rating at September 30, 2026 and December 31, 2025:</w:t>
      </w:r>
    </w:p>
    <w:tbl>
      <w:tblPr>
        <w:tblW w:w="10835" w:type="dxa"/>
        <w:jc w:val="center"/>
        <w:tblInd w:w="0" w:type="dxa"/>
        <w:tblLayout w:type="fixed"/>
        <w:tblCellMar>
          <w:top w:w="28" w:type="dxa"/>
          <w:left w:w="28" w:type="dxa"/>
          <w:bottom w:w="28" w:type="dxa"/>
          <w:right w:w="28" w:type="dxa"/>
        </w:tblCellMar>
      </w:tblPr>
      <w:tblGrid>
        <w:gridCol w:w="264"/>
        <w:gridCol w:w="205"/>
        <w:gridCol w:w="207"/>
        <w:gridCol w:w="196"/>
        <w:gridCol w:w="64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646"/>
        <w:gridCol w:w="109"/>
        <w:gridCol w:w="109"/>
        <w:gridCol w:w="109"/>
        <w:gridCol w:w="109"/>
        <w:gridCol w:w="278"/>
        <w:gridCol w:w="278"/>
        <w:gridCol w:w="357"/>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Dealer Risk Rating</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(a)Floorplan advances comprise 99.2% of the total revolving balance. Dealer term loans are presented by year of origination.</w:t>
      </w:r>
    </w:p>
    <w:tbl>
      <w:tblPr>
        <w:tblW w:w="11162" w:type="dxa"/>
        <w:jc w:val="left"/>
        <w:tblInd w:w="0" w:type="dxa"/>
        <w:tblLayout w:type="fixed"/>
        <w:tblCellMar>
          <w:top w:w="28" w:type="dxa"/>
          <w:left w:w="28" w:type="dxa"/>
          <w:bottom w:w="28" w:type="dxa"/>
          <w:right w:w="28" w:type="dxa"/>
        </w:tblCellMar>
      </w:tblPr>
      <w:tblGrid>
        <w:gridCol w:w="264"/>
        <w:gridCol w:w="205"/>
        <w:gridCol w:w="207"/>
        <w:gridCol w:w="196"/>
        <w:gridCol w:w="64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09"/>
        <w:gridCol w:w="109"/>
        <w:gridCol w:w="196"/>
        <w:gridCol w:w="646"/>
        <w:gridCol w:w="109"/>
        <w:gridCol w:w="109"/>
        <w:gridCol w:w="109"/>
        <w:gridCol w:w="109"/>
        <w:gridCol w:w="278"/>
        <w:gridCol w:w="278"/>
        <w:gridCol w:w="357"/>
        <w:gridCol w:w="109"/>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Dealer Risk Rating</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(a)Floorplan advances comprise 99.1% of the total revolving balance. Dealer term loans are presented by year of origination.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Commercial finance receivables on nonaccrual status were insignificant and none at September 30, 2026 and December 31, 2025.</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Transfers of Finance Receivables </w:t>
      </w:r>
      <w:r>
        <w:rPr>
          <w:rFonts w:ascii="Times New Roman;serif" w:hAnsi="Times New Roman;serif"/>
          <w:b w:val="false"/>
          <w:color w:val="000000"/>
          <w:sz w:val="20"/>
        </w:rPr>
        <w:t xml:space="preserve">GM Financial has continuing involvement with finance receivables that were transferred in 2025, primarily in its role as servicer. The outstanding balance of the previously transferred finance receivables subject to continuing involvement was $1.2 billion at September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Transactions with GM Financial</w:t>
      </w:r>
      <w:r>
        <w:rPr>
          <w:color w:val="000000"/>
        </w:rPr>
        <w:t xml:space="preserve"> </w:t>
      </w:r>
      <w:r>
        <w:rPr>
          <w:rFonts w:ascii="Times New Roman;serif" w:hAnsi="Times New Roman;serif"/>
          <w:b w:val="false"/>
          <w:color w:val="000000"/>
          <w:sz w:val="20"/>
        </w:rPr>
        <w:t>The following tables show transactions between our Automotive operations and GM Financial. These amounts are presented in GM Financial's condensed consolidated balance sheets and statements of income.</w:t>
      </w:r>
    </w:p>
    <w:tbl>
      <w:tblPr>
        <w:tblW w:w="8966" w:type="dxa"/>
        <w:jc w:val="center"/>
        <w:tblInd w:w="0" w:type="dxa"/>
        <w:tblLayout w:type="fixed"/>
        <w:tblCellMar>
          <w:top w:w="28" w:type="dxa"/>
          <w:left w:w="28" w:type="dxa"/>
          <w:bottom w:w="28" w:type="dxa"/>
          <w:right w:w="28" w:type="dxa"/>
        </w:tblCellMar>
      </w:tblPr>
      <w:tblGrid>
        <w:gridCol w:w="2012"/>
        <w:gridCol w:w="1767"/>
        <w:gridCol w:w="1771"/>
        <w:gridCol w:w="413"/>
        <w:gridCol w:w="915"/>
        <w:gridCol w:w="216"/>
        <w:gridCol w:w="109"/>
        <w:gridCol w:w="109"/>
        <w:gridCol w:w="109"/>
        <w:gridCol w:w="392"/>
        <w:gridCol w:w="866"/>
        <w:gridCol w:w="287"/>
      </w:tblGrid>
      <w:tr>
        <w:trPr/>
        <w:tc>
          <w:tcPr>
            <w:tcW w:w="201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Sheets(a)</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finance receivables due from GM consolidated dealers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Subvention receivable from GM(b)</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 funding payable to GM</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10205" w:type="dxa"/>
        <w:jc w:val="center"/>
        <w:tblInd w:w="0" w:type="dxa"/>
        <w:tblLayout w:type="fixed"/>
        <w:tblCellMar>
          <w:top w:w="28" w:type="dxa"/>
          <w:left w:w="28" w:type="dxa"/>
          <w:bottom w:w="28" w:type="dxa"/>
          <w:right w:w="28" w:type="dxa"/>
        </w:tblCellMar>
      </w:tblPr>
      <w:tblGrid>
        <w:gridCol w:w="1278"/>
        <w:gridCol w:w="1123"/>
        <w:gridCol w:w="1126"/>
        <w:gridCol w:w="375"/>
        <w:gridCol w:w="832"/>
        <w:gridCol w:w="196"/>
        <w:gridCol w:w="109"/>
        <w:gridCol w:w="109"/>
        <w:gridCol w:w="109"/>
        <w:gridCol w:w="375"/>
        <w:gridCol w:w="832"/>
        <w:gridCol w:w="196"/>
        <w:gridCol w:w="109"/>
        <w:gridCol w:w="109"/>
        <w:gridCol w:w="109"/>
        <w:gridCol w:w="319"/>
        <w:gridCol w:w="934"/>
        <w:gridCol w:w="165"/>
        <w:gridCol w:w="109"/>
        <w:gridCol w:w="109"/>
        <w:gridCol w:w="109"/>
        <w:gridCol w:w="315"/>
        <w:gridCol w:w="920"/>
        <w:gridCol w:w="238"/>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subvention earned on finance receivables</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vehicle subvention earned</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balance sheet amounts are eliminated upon consolidation.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(b)Our Automotive operations made cash payments to GM Financial for subvention of $796 million and $856 million in the three months ended September 30, 2026 and 2025 and $2.1 billion and $2.5 billion in the nine months ended September 30, 2026 and 2025.</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shd w:fill="FFFFFF" w:val="clear"/>
        </w:rPr>
        <w:t>GM Financi</w:t>
      </w:r>
      <w:r>
        <w:rPr>
          <w:rFonts w:ascii="Times New Roman;serif" w:hAnsi="Times New Roman;serif"/>
          <w:b w:val="false"/>
          <w:color w:val="000000"/>
          <w:sz w:val="20"/>
        </w:rPr>
        <w:t>al's Board of Directors declared and paid dividends of $250 million and $350 million on its common stock in the three months ended September 30, 2026 and 2025 and $1.2 billion and $1.1 billion in the nine months ended September 30, 2026 and 2025.</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Inventories</w:t>
      </w:r>
    </w:p>
    <w:tbl>
      <w:tblPr>
        <w:tblW w:w="8065" w:type="dxa"/>
        <w:jc w:val="left"/>
        <w:tblInd w:w="0" w:type="dxa"/>
        <w:tblLayout w:type="fixed"/>
        <w:tblCellMar>
          <w:top w:w="28" w:type="dxa"/>
          <w:left w:w="28" w:type="dxa"/>
          <w:bottom w:w="28" w:type="dxa"/>
          <w:right w:w="28" w:type="dxa"/>
        </w:tblCellMar>
      </w:tblPr>
      <w:tblGrid>
        <w:gridCol w:w="1682"/>
        <w:gridCol w:w="1479"/>
        <w:gridCol w:w="1488"/>
        <w:gridCol w:w="313"/>
        <w:gridCol w:w="1070"/>
        <w:gridCol w:w="161"/>
        <w:gridCol w:w="109"/>
        <w:gridCol w:w="109"/>
        <w:gridCol w:w="109"/>
        <w:gridCol w:w="300"/>
        <w:gridCol w:w="1026"/>
        <w:gridCol w:w="219"/>
      </w:tblGrid>
      <w:tr>
        <w:trPr/>
        <w:tc>
          <w:tcPr>
            <w:tcW w:w="168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productive material, supplies, and work in process</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 including service parts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Inventories are reflected net of allowances totaling $1.7 billion and $2.4 billion, of which $0.8 billion and $1.7 billion are electric vehicle (EV)-related, to remeasure inventory on-hand to net realizable value at September 30, 2026 and December 31, 2025. Tariffs, less available offsets and deductions, are capitalized into the cost of inventories as incurred. Offset amounts in excess of tariffs incurred will be recognized as a reduction to future tariffs.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6. Equipment on Operating Leases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Equipment on operating leases consists of leases to retail customers of GM Financial. </w:t>
      </w:r>
    </w:p>
    <w:tbl>
      <w:tblPr>
        <w:tblW w:w="6386" w:type="dxa"/>
        <w:jc w:val="left"/>
        <w:tblInd w:w="0" w:type="dxa"/>
        <w:tblLayout w:type="fixed"/>
        <w:tblCellMar>
          <w:top w:w="28" w:type="dxa"/>
          <w:left w:w="28" w:type="dxa"/>
          <w:bottom w:w="28" w:type="dxa"/>
          <w:right w:w="28" w:type="dxa"/>
        </w:tblCellMar>
      </w:tblPr>
      <w:tblGrid>
        <w:gridCol w:w="1077"/>
        <w:gridCol w:w="945"/>
        <w:gridCol w:w="948"/>
        <w:gridCol w:w="313"/>
        <w:gridCol w:w="1070"/>
        <w:gridCol w:w="161"/>
        <w:gridCol w:w="109"/>
        <w:gridCol w:w="109"/>
        <w:gridCol w:w="109"/>
        <w:gridCol w:w="300"/>
        <w:gridCol w:w="1026"/>
        <w:gridCol w:w="219"/>
      </w:tblGrid>
      <w:tr>
        <w:trPr/>
        <w:tc>
          <w:tcPr>
            <w:tcW w:w="107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on operating leases</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on operating leases, net</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32,244 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estimated residual value of our leased assets at the end of the lease term was $24.4 billion and $25.0 billion at September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Equipment on operating leases, net was $1.2 billion in the three months ended September 30, 2026 and 2025 and $3.9 billion and $3.7 billion in the nine months ended September 30, 2026 and 2025.</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lease payments due to GM Financial on leases to retail customers:</w:t>
      </w:r>
    </w:p>
    <w:tbl>
      <w:tblPr>
        <w:tblW w:w="10205" w:type="dxa"/>
        <w:jc w:val="left"/>
        <w:tblInd w:w="0" w:type="dxa"/>
        <w:tblLayout w:type="fixed"/>
        <w:tblCellMar>
          <w:top w:w="28" w:type="dxa"/>
          <w:left w:w="28" w:type="dxa"/>
          <w:bottom w:w="28" w:type="dxa"/>
          <w:right w:w="28" w:type="dxa"/>
        </w:tblCellMar>
      </w:tblPr>
      <w:tblGrid>
        <w:gridCol w:w="760"/>
        <w:gridCol w:w="669"/>
        <w:gridCol w:w="6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57"/>
        <w:gridCol w:w="495"/>
        <w:gridCol w:w="134"/>
        <w:gridCol w:w="109"/>
        <w:gridCol w:w="109"/>
        <w:gridCol w:w="109"/>
        <w:gridCol w:w="211"/>
        <w:gridCol w:w="616"/>
        <w:gridCol w:w="155"/>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receipts under operating 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Equity in Net Assets of Nonconsolidated Affiliates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tbl>
      <w:tblPr>
        <w:tblW w:w="10205" w:type="dxa"/>
        <w:jc w:val="left"/>
        <w:tblInd w:w="0" w:type="dxa"/>
        <w:tblLayout w:type="fixed"/>
        <w:tblCellMar>
          <w:top w:w="28" w:type="dxa"/>
          <w:left w:w="28" w:type="dxa"/>
          <w:bottom w:w="28" w:type="dxa"/>
          <w:right w:w="28" w:type="dxa"/>
        </w:tblCellMar>
      </w:tblPr>
      <w:tblGrid>
        <w:gridCol w:w="1327"/>
        <w:gridCol w:w="1166"/>
        <w:gridCol w:w="1169"/>
        <w:gridCol w:w="368"/>
        <w:gridCol w:w="816"/>
        <w:gridCol w:w="192"/>
        <w:gridCol w:w="109"/>
        <w:gridCol w:w="109"/>
        <w:gridCol w:w="109"/>
        <w:gridCol w:w="368"/>
        <w:gridCol w:w="816"/>
        <w:gridCol w:w="192"/>
        <w:gridCol w:w="109"/>
        <w:gridCol w:w="109"/>
        <w:gridCol w:w="109"/>
        <w:gridCol w:w="368"/>
        <w:gridCol w:w="816"/>
        <w:gridCol w:w="192"/>
        <w:gridCol w:w="109"/>
        <w:gridCol w:w="109"/>
        <w:gridCol w:w="109"/>
        <w:gridCol w:w="360"/>
        <w:gridCol w:w="798"/>
        <w:gridCol w:w="276"/>
      </w:tblGrid>
      <w:tr>
        <w:trPr/>
        <w:tc>
          <w:tcPr>
            <w:tcW w:w="132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Automotive China joint ventures equity income (loss)</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joint ventures equity income (loss)(a)(b)</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income (loss)</w:t>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(a)Equity income (loss) related to Ultium Cells Holdings LLC, an equally owned joint venture with LG Energy Solution, is presented in Automotive and other cost of sales as this entity has historically been integral to the operations of our business by providing battery cells for our EVs. Equity income (loss) in Ultium Cells Holdings LLC was insignificant in the three and nine months ended September 30, 2026 and $213 million and $465 million in the three and nine months ended September 30,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a gain on the sale of an equity method investment of $254 million in the three and nine months ended September 30, 2026.</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2026, we recorded no impairment charges in equity income. In the nine months ended September 30, 2026, we recorded $364 million of impairment charges in equity income, and in the year ended December 31, 2025, we recorded an insignificant amount of restructuring-related charges in equity income in connection with our EV strategic realignment. Refer to Note 15 for additional information.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ownership changes in our Automotive China joint ventures (Automotive China JVs) or Ultium Cells Holdings LLC since December 31, 2025.</w:t>
      </w:r>
    </w:p>
    <w:tbl>
      <w:tblPr>
        <w:tblW w:w="10205" w:type="dxa"/>
        <w:jc w:val="left"/>
        <w:tblInd w:w="0" w:type="dxa"/>
        <w:tblLayout w:type="fixed"/>
        <w:tblCellMar>
          <w:top w:w="28" w:type="dxa"/>
          <w:left w:w="28" w:type="dxa"/>
          <w:bottom w:w="28" w:type="dxa"/>
          <w:right w:w="28" w:type="dxa"/>
        </w:tblCellMar>
      </w:tblPr>
      <w:tblGrid>
        <w:gridCol w:w="1333"/>
        <w:gridCol w:w="1170"/>
        <w:gridCol w:w="1176"/>
        <w:gridCol w:w="306"/>
        <w:gridCol w:w="894"/>
        <w:gridCol w:w="158"/>
        <w:gridCol w:w="109"/>
        <w:gridCol w:w="109"/>
        <w:gridCol w:w="109"/>
        <w:gridCol w:w="306"/>
        <w:gridCol w:w="894"/>
        <w:gridCol w:w="158"/>
        <w:gridCol w:w="109"/>
        <w:gridCol w:w="109"/>
        <w:gridCol w:w="109"/>
        <w:gridCol w:w="281"/>
        <w:gridCol w:w="963"/>
        <w:gridCol w:w="145"/>
        <w:gridCol w:w="109"/>
        <w:gridCol w:w="109"/>
        <w:gridCol w:w="109"/>
        <w:gridCol w:w="279"/>
        <w:gridCol w:w="953"/>
        <w:gridCol w:w="208"/>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Summarized Operating Data of Automotive China JVs </w:t>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China JVs' net sales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China JVs' net income (loss)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Dividends declared but not paid from our nonconsolidated affiliates were $1.4 billion and $926 million at September 30, 2026 and December 31, 2025. Dividends received from our nonconsolidated affiliates were insignificant in the three and nine months ended September 30, 2026 and insignificant and $1.1 billion in the three and nine months ended September 30, 2025. We had net undistributed losses from our nonconsolidated affiliates of $945 million and $1.5 billion at September 30, 2026 and December 31, 2025, including $3.1 billion and $3.2 billion of undistributed losses at September 30, 2026 and December 31, 2025, offset by $2.2 billion and $1.8 billion of undistributed earnings at September 30, 2026 and December 31, 2025.</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Variable Interest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firstLine="180"/>
        <w:jc w:val="both"/>
        <w:rPr>
          <w:rFonts w:ascii="Times New Roman;serif" w:hAnsi="Times New Roman;serif"/>
          <w:b/>
          <w:i/>
          <w:color w:val="000000"/>
          <w:sz w:val="20"/>
        </w:rPr>
      </w:pPr>
      <w:r>
        <w:rPr>
          <w:rFonts w:ascii="Times New Roman;serif" w:hAnsi="Times New Roman;serif"/>
          <w:b/>
          <w:i/>
          <w:color w:val="000000"/>
          <w:sz w:val="20"/>
        </w:rPr>
        <w:t>Automotive Financing – GM Financial</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uses special purpose entities (SPEs) that are considered VIEs to issue variable funding notes to third-party, bank-sponsored warehouse facilities, or asset-backed securities to investors in securitization transactions. The debt issued by these VIEs is backed by finance receivables and leasing-related assets transferred to the VIEs (Securitized Assets). GM Financial is required to hold certain funds in restricted cash accounts to provide additional collateral for borrowings under certain secured credit facilities.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SPEs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related to GM Financial's consolidated VIEs:</w:t>
      </w:r>
    </w:p>
    <w:tbl>
      <w:tblPr>
        <w:tblW w:w="8995" w:type="dxa"/>
        <w:jc w:val="left"/>
        <w:tblInd w:w="0" w:type="dxa"/>
        <w:tblLayout w:type="fixed"/>
        <w:tblCellMar>
          <w:top w:w="28" w:type="dxa"/>
          <w:left w:w="28" w:type="dxa"/>
          <w:bottom w:w="28" w:type="dxa"/>
          <w:right w:w="28" w:type="dxa"/>
        </w:tblCellMar>
      </w:tblPr>
      <w:tblGrid>
        <w:gridCol w:w="2017"/>
        <w:gridCol w:w="1778"/>
        <w:gridCol w:w="1784"/>
        <w:gridCol w:w="313"/>
        <w:gridCol w:w="1070"/>
        <w:gridCol w:w="161"/>
        <w:gridCol w:w="109"/>
        <w:gridCol w:w="109"/>
        <w:gridCol w:w="109"/>
        <w:gridCol w:w="300"/>
        <w:gridCol w:w="1026"/>
        <w:gridCol w:w="219"/>
      </w:tblGrid>
      <w:tr>
        <w:trPr/>
        <w:tc>
          <w:tcPr>
            <w:tcW w:w="201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receivables – current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receivables – non-current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equipment on operating lease related assets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short-term debt and current portion of long-term debt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long-term debt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Nonconsolidated VIEs</w:t>
      </w:r>
    </w:p>
    <w:p>
      <w:pPr>
        <w:pStyle w:val="TextBody"/>
        <w:bidi w:val="0"/>
        <w:spacing w:lineRule="auto" w:line="288" w:before="160" w:after="120"/>
        <w:ind w:left="0" w:right="0" w:firstLine="180"/>
        <w:jc w:val="both"/>
        <w:rPr>
          <w:rFonts w:ascii="Times New Roman;serif" w:hAnsi="Times New Roman;serif"/>
          <w:b/>
          <w:i/>
          <w:color w:val="000000"/>
          <w:sz w:val="20"/>
        </w:rPr>
      </w:pPr>
      <w:r>
        <w:rPr>
          <w:rFonts w:ascii="Times New Roman;serif" w:hAnsi="Times New Roman;serif"/>
          <w:b/>
          <w:i/>
          <w:color w:val="000000"/>
          <w:sz w:val="20"/>
        </w:rPr>
        <w:t>Automotive</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Nonconsolidated VIEs primarily include our battery cell manufacturing joint ventures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$4.1 billion and $3.6 billion, and liabilities were $0.6 billion and insignificant related to our nonconsolidated VIEs at September 30, 2026 and December 31, 2025. Our maximum exposure to loss as a result of our involvement with these VIEs was approximately $6.7 billion and $8.5 billion, inclusive of $1.9 billion and $4.0 billion in committed capital and other contributions to our battery cell manufacturing joint ventures, at September 30, 2026 and December 31, 2025. Refer to Note 15 for additional information on EV-related commercial settlements with our nonconsolidated VIEs. Our maximum exposure to loss, and required capital contributions, could vary depending on our battery cell manufacturing joint ventures' requirements and access to capital. We currently lack the power through voting or similar rights to direct the activities of these entities that most significantly affect their economic performance.</w:t>
      </w:r>
    </w:p>
    <w:p>
      <w:pPr>
        <w:pStyle w:val="TextBody"/>
        <w:bidi w:val="0"/>
        <w:spacing w:before="0" w:after="12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Debt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Automotive</w:t>
      </w:r>
      <w:r>
        <w:rPr>
          <w:color w:val="000000"/>
        </w:rPr>
        <w:t xml:space="preserve"> </w:t>
      </w:r>
      <w:r>
        <w:rPr>
          <w:rFonts w:ascii="Times New Roman;serif" w:hAnsi="Times New Roman;serif"/>
          <w:b w:val="false"/>
          <w:color w:val="000000"/>
          <w:sz w:val="20"/>
        </w:rPr>
        <w:t>The following table presents debt in our automotive operations:</w:t>
      </w:r>
    </w:p>
    <w:tbl>
      <w:tblPr>
        <w:tblW w:w="9779" w:type="dxa"/>
        <w:jc w:val="left"/>
        <w:tblInd w:w="0" w:type="dxa"/>
        <w:tblLayout w:type="fixed"/>
        <w:tblCellMar>
          <w:top w:w="28" w:type="dxa"/>
          <w:left w:w="28" w:type="dxa"/>
          <w:bottom w:w="28" w:type="dxa"/>
          <w:right w:w="28" w:type="dxa"/>
        </w:tblCellMar>
      </w:tblPr>
      <w:tblGrid>
        <w:gridCol w:w="1410"/>
        <w:gridCol w:w="1242"/>
        <w:gridCol w:w="1246"/>
        <w:gridCol w:w="297"/>
        <w:gridCol w:w="1020"/>
        <w:gridCol w:w="153"/>
        <w:gridCol w:w="109"/>
        <w:gridCol w:w="109"/>
        <w:gridCol w:w="109"/>
        <w:gridCol w:w="316"/>
        <w:gridCol w:w="240"/>
        <w:gridCol w:w="436"/>
        <w:gridCol w:w="109"/>
        <w:gridCol w:w="109"/>
        <w:gridCol w:w="109"/>
        <w:gridCol w:w="285"/>
        <w:gridCol w:w="977"/>
        <w:gridCol w:w="147"/>
        <w:gridCol w:w="109"/>
        <w:gridCol w:w="109"/>
        <w:gridCol w:w="109"/>
        <w:gridCol w:w="308"/>
        <w:gridCol w:w="232"/>
        <w:gridCol w:w="489"/>
      </w:tblGrid>
      <w:tr>
        <w:trPr/>
        <w:tc>
          <w:tcPr>
            <w:tcW w:w="141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debt(a)</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automotive debt(b)</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1 inputs</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2 inputs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credit facility agreements(c)</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13,913</w:t>
            </w:r>
          </w:p>
        </w:tc>
      </w:tr>
      <w:tr>
        <w:trPr/>
        <w:tc>
          <w:tcPr>
            <w:tcW w:w="53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 on outstanding short-term debt(d)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 on outstanding long-term debt(d)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(a)Primarily consists of senior notes.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net discount and debt issuance costs of $427 million and $445 million at September 30, 2026 and December 31,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(c)Excludes our 364-day, $2.0 billion facility allocated for exclusive use by GM Financial and our Inventory Banking Facility.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(d)Includes coupon rates on debt denominated in various foreign currencies and interest free loans.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August 2026, we entered into an agreement with an intermediary that will advance funds from a syndicate of banks to certain suppliers in exchange for the suppliers acquiring and holding certain critical inventory (Inventory Banking Facility). The intermediary's funding provides for a maximum of $4.5 billion that can be drawn over a 12-month funding period that commenced on August 7, 2026. As of September 30, 2026, an insignificant amount has been drawn under the Inventory Banking Facility. Amounts drawn by the intermediary will be supported by irrevocable payment undertakings (IPUs) issued by us, which we will pay down following our consumption of the banked inventory, with any unpaid amounts due by August 6, 2029. Interest will accrue on the IPUs at a rate equal to the Secured Overnight Financing Rate plus 1.55% per annum. The Inventory Banking Facility contains customary representations and warranties, covenants, and events of default for a program of this type with all outstanding amounts becoming immediately due and payable upon an event of default. Amounts outstanding under the Inventory Banking Facility are presented as unsecured debt.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March 2026, we renewed our 364-day, $2.0 billion revolving credit facility allocated for the exclusive use of GM Financial, which now matures on March 22,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GM Financial</w:t>
      </w:r>
      <w:r>
        <w:rPr>
          <w:color w:val="000000"/>
        </w:rPr>
        <w:t xml:space="preserve"> </w:t>
      </w:r>
      <w:r>
        <w:rPr>
          <w:rFonts w:ascii="Times New Roman;serif" w:hAnsi="Times New Roman;serif"/>
          <w:b w:val="false"/>
          <w:color w:val="000000"/>
          <w:sz w:val="20"/>
        </w:rPr>
        <w:t>The following table presents debt of GM Financial:</w:t>
      </w:r>
    </w:p>
    <w:tbl>
      <w:tblPr>
        <w:tblW w:w="9032" w:type="dxa"/>
        <w:jc w:val="center"/>
        <w:tblInd w:w="0" w:type="dxa"/>
        <w:tblLayout w:type="fixed"/>
        <w:tblCellMar>
          <w:top w:w="28" w:type="dxa"/>
          <w:left w:w="28" w:type="dxa"/>
          <w:bottom w:w="28" w:type="dxa"/>
          <w:right w:w="28" w:type="dxa"/>
        </w:tblCellMar>
      </w:tblPr>
      <w:tblGrid>
        <w:gridCol w:w="1047"/>
        <w:gridCol w:w="923"/>
        <w:gridCol w:w="924"/>
        <w:gridCol w:w="259"/>
        <w:gridCol w:w="1017"/>
        <w:gridCol w:w="134"/>
        <w:gridCol w:w="109"/>
        <w:gridCol w:w="109"/>
        <w:gridCol w:w="109"/>
        <w:gridCol w:w="211"/>
        <w:gridCol w:w="826"/>
        <w:gridCol w:w="109"/>
        <w:gridCol w:w="109"/>
        <w:gridCol w:w="109"/>
        <w:gridCol w:w="109"/>
        <w:gridCol w:w="259"/>
        <w:gridCol w:w="1017"/>
        <w:gridCol w:w="134"/>
        <w:gridCol w:w="109"/>
        <w:gridCol w:w="109"/>
        <w:gridCol w:w="109"/>
        <w:gridCol w:w="211"/>
        <w:gridCol w:w="8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debt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GM Financial debt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2 inputs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3 inputs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Secured debt consists of revolving credit facilities and securitization notes payable. Most of the secured debt was issued by VIEs and is repayable only from proceeds related to the underlying pledged assets. Refer to Note 8 for additional information on GM Financial's involvement with VIEs. In the nine months ended September 30, 2026, GM Financial renewed and upsized revolving credit facilities with total borrowing capacity of $19.2 billion and issued $11.5 billion in aggregate principal amount of securitization notes payable with an initial weighted-average interest rate of 3.82% and maturity dates ranging from 2026 to 2035.</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Unsecured debt consists of senior notes, credit facilities, and other unsecured debt. In the nine months ended September 30, 2026, GM Financial issued $5.6 billion in aggregate principal amount of senior notes with an initial weighted-average interest rate of 4.90% and maturity dates ranging from 2029 to 2036.</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Derivative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fair value amounts of GM Financial's derivative financial instruments and the associated notional amounts:</w:t>
      </w:r>
    </w:p>
    <w:tbl>
      <w:tblPr>
        <w:tblW w:w="10205" w:type="dxa"/>
        <w:jc w:val="left"/>
        <w:tblInd w:w="0" w:type="dxa"/>
        <w:tblLayout w:type="fixed"/>
        <w:tblCellMar>
          <w:top w:w="28" w:type="dxa"/>
          <w:left w:w="28" w:type="dxa"/>
          <w:bottom w:w="28" w:type="dxa"/>
          <w:right w:w="28" w:type="dxa"/>
        </w:tblCellMar>
      </w:tblPr>
      <w:tblGrid>
        <w:gridCol w:w="494"/>
        <w:gridCol w:w="410"/>
        <w:gridCol w:w="411"/>
        <w:gridCol w:w="197"/>
        <w:gridCol w:w="197"/>
        <w:gridCol w:w="198"/>
        <w:gridCol w:w="109"/>
        <w:gridCol w:w="109"/>
        <w:gridCol w:w="109"/>
        <w:gridCol w:w="211"/>
        <w:gridCol w:w="826"/>
        <w:gridCol w:w="109"/>
        <w:gridCol w:w="109"/>
        <w:gridCol w:w="109"/>
        <w:gridCol w:w="109"/>
        <w:gridCol w:w="222"/>
        <w:gridCol w:w="650"/>
        <w:gridCol w:w="115"/>
        <w:gridCol w:w="109"/>
        <w:gridCol w:w="109"/>
        <w:gridCol w:w="109"/>
        <w:gridCol w:w="227"/>
        <w:gridCol w:w="665"/>
        <w:gridCol w:w="117"/>
        <w:gridCol w:w="109"/>
        <w:gridCol w:w="109"/>
        <w:gridCol w:w="109"/>
        <w:gridCol w:w="211"/>
        <w:gridCol w:w="826"/>
        <w:gridCol w:w="109"/>
        <w:gridCol w:w="109"/>
        <w:gridCol w:w="109"/>
        <w:gridCol w:w="109"/>
        <w:gridCol w:w="222"/>
        <w:gridCol w:w="650"/>
        <w:gridCol w:w="115"/>
        <w:gridCol w:w="109"/>
        <w:gridCol w:w="109"/>
        <w:gridCol w:w="109"/>
        <w:gridCol w:w="227"/>
        <w:gridCol w:w="662"/>
        <w:gridCol w:w="172"/>
      </w:tblGrid>
      <w:tr>
        <w:trPr/>
        <w:tc>
          <w:tcPr>
            <w:tcW w:w="49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Liabilities</w:t>
            </w:r>
          </w:p>
        </w:tc>
      </w:tr>
      <w:tr>
        <w:trPr/>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hedges(a)</w:t>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swaps(b)</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swaps(c)</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hedges(a)</w:t>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financial instruments(d)</w:t>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gains/losses included in our condensed consolidated income statements and statements of comprehensive income for the three and nine months ended September 30, 2026 and 2025 were insignificant, unless otherwise noted. Amounts accrued for interest payments in a net receivable position are included in Other assets. Amounts accrued for interest payments in a net payable position are included in Other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effect of fair value hedges in the condensed consolidated income statements includes insignificant losses for the three months ended September 30, 2026 and 2025 and losses of $108 million and $164 million for the nine months ended September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(c)The effect of foreign currency cash flow hedges recognized in Accumulated other comprehensive loss in the condensed consolidated statements of comprehensive income includes insignificant losses for the three months ended September 30, 2026 and 2025, and losses of $200 million and gains of $578 million for the nine months ended September 30, 2026 and 2025. The effect of foreign currency cash flow hedges reclassified from Accumulated other comprehensive loss in the condensed consolidated statements of comprehensive income into income includes insignificant losses for the three months ended September 30, 2026 and 2025 and losses of $253 million and gains of $675 million for the nine months ended September 30, 2026 and 2025. All amounts reclassified from Accumulated other comprehensive loss were recorded to GM Financial interest, operating, and other expenses in the condensed consolidated income statements.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(d)The fair value of derivative instruments that are classified as assets or liabilities available for offset was $805 million at September 30, 2026 and $520 million at December 31, 2025. GM Financial held $137 million and an insignificant amount of collateral from counterparties available for netting against GM Financial's asset positions and posted $1.2 billion and $615 million of collateral to counterparties available for netting against GM Financial's liability positions at September 30, 2026 and December 31, 2025.</w:t>
      </w:r>
    </w:p>
    <w:p>
      <w:pPr>
        <w:pStyle w:val="TextBody"/>
        <w:bidi w:val="0"/>
        <w:spacing w:before="0" w:after="0"/>
        <w:ind w:left="0" w:right="0" w:hanging="36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fair value for Level 2 instruments was derived using the market approach based on observable market inputs including quoted prices of similar instruments and foreign exchange and interest rate forward curves. During the next 12 months, we expect an insignificant amount of losses will be reclassified into pre-tax earnings from derivatives designated for hedge accounting.</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condensed consolidated balance sheets related to items designated and qualifying as hedged items in fair value hedging relationships:</w:t>
      </w:r>
    </w:p>
    <w:tbl>
      <w:tblPr>
        <w:tblW w:w="10205" w:type="dxa"/>
        <w:jc w:val="left"/>
        <w:tblInd w:w="0" w:type="dxa"/>
        <w:tblLayout w:type="fixed"/>
        <w:tblCellMar>
          <w:top w:w="28" w:type="dxa"/>
          <w:left w:w="28" w:type="dxa"/>
          <w:bottom w:w="28" w:type="dxa"/>
          <w:right w:w="28" w:type="dxa"/>
        </w:tblCellMar>
      </w:tblPr>
      <w:tblGrid>
        <w:gridCol w:w="618"/>
        <w:gridCol w:w="544"/>
        <w:gridCol w:w="545"/>
        <w:gridCol w:w="316"/>
        <w:gridCol w:w="1083"/>
        <w:gridCol w:w="163"/>
        <w:gridCol w:w="109"/>
        <w:gridCol w:w="109"/>
        <w:gridCol w:w="109"/>
        <w:gridCol w:w="492"/>
        <w:gridCol w:w="1438"/>
        <w:gridCol w:w="254"/>
        <w:gridCol w:w="109"/>
        <w:gridCol w:w="109"/>
        <w:gridCol w:w="109"/>
        <w:gridCol w:w="316"/>
        <w:gridCol w:w="1083"/>
        <w:gridCol w:w="163"/>
        <w:gridCol w:w="109"/>
        <w:gridCol w:w="109"/>
        <w:gridCol w:w="109"/>
        <w:gridCol w:w="558"/>
        <w:gridCol w:w="1235"/>
        <w:gridCol w:w="41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 of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Cumulative Amount of Fair Value Hedging Adjustments(a)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 of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Cumulative Amount of Fair Value Hedging Adjustments(a)</w:t>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unsecured debt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unsecured debt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unsecured debt</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32,474 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4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$362 million and $428 million of unamortized losses remaining on hedged items for which hedge accounting has been discontinued at September 30, 2026 and December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Product Warranty and Related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84"/>
        <w:gridCol w:w="1146"/>
        <w:gridCol w:w="1154"/>
        <w:gridCol w:w="278"/>
        <w:gridCol w:w="951"/>
        <w:gridCol w:w="143"/>
        <w:gridCol w:w="109"/>
        <w:gridCol w:w="109"/>
        <w:gridCol w:w="109"/>
        <w:gridCol w:w="278"/>
        <w:gridCol w:w="951"/>
        <w:gridCol w:w="143"/>
        <w:gridCol w:w="109"/>
        <w:gridCol w:w="109"/>
        <w:gridCol w:w="109"/>
        <w:gridCol w:w="278"/>
        <w:gridCol w:w="951"/>
        <w:gridCol w:w="143"/>
        <w:gridCol w:w="109"/>
        <w:gridCol w:w="109"/>
        <w:gridCol w:w="109"/>
        <w:gridCol w:w="275"/>
        <w:gridCol w:w="942"/>
        <w:gridCol w:w="207"/>
      </w:tblGrid>
      <w:tr>
        <w:trPr/>
        <w:tc>
          <w:tcPr>
            <w:tcW w:w="138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warranty and related liabilities</w:t>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at beginning of period</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10,571 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 – recall campaigns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 – product warranty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pre-existing warranties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and other</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at end of period</w:t>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Supplier recoveries balance at end of period(a)</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net of supplier recoveries at end of period</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684"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current portion of supplier recoveries is recorded in Accounts and notes receivable, net of allowance and the non-current portion is recorded in Other assets.</w:t>
      </w:r>
    </w:p>
    <w:tbl>
      <w:tblPr>
        <w:tblW w:w="10205" w:type="dxa"/>
        <w:jc w:val="left"/>
        <w:tblInd w:w="0" w:type="dxa"/>
        <w:tblLayout w:type="fixed"/>
        <w:tblCellMar>
          <w:top w:w="28" w:type="dxa"/>
          <w:left w:w="28" w:type="dxa"/>
          <w:bottom w:w="28" w:type="dxa"/>
          <w:right w:w="28" w:type="dxa"/>
        </w:tblCellMar>
      </w:tblPr>
      <w:tblGrid>
        <w:gridCol w:w="1222"/>
        <w:gridCol w:w="1053"/>
        <w:gridCol w:w="1059"/>
        <w:gridCol w:w="322"/>
        <w:gridCol w:w="943"/>
        <w:gridCol w:w="167"/>
        <w:gridCol w:w="109"/>
        <w:gridCol w:w="109"/>
        <w:gridCol w:w="109"/>
        <w:gridCol w:w="322"/>
        <w:gridCol w:w="943"/>
        <w:gridCol w:w="167"/>
        <w:gridCol w:w="109"/>
        <w:gridCol w:w="109"/>
        <w:gridCol w:w="109"/>
        <w:gridCol w:w="322"/>
        <w:gridCol w:w="943"/>
        <w:gridCol w:w="167"/>
        <w:gridCol w:w="109"/>
        <w:gridCol w:w="109"/>
        <w:gridCol w:w="109"/>
        <w:gridCol w:w="322"/>
        <w:gridCol w:w="943"/>
        <w:gridCol w:w="167"/>
        <w:gridCol w:w="162"/>
      </w:tblGrid>
      <w:tr>
        <w:trPr/>
        <w:tc>
          <w:tcPr>
            <w:tcW w:w="122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Product warranty expense, net of recoveries</w:t>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Supplier recoveries accrued in period</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other</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Warranty expense, net of supplier recoveries</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 estimates related to reasonably possible losses in excess of amounts accrued for recall campaigns, refer to Note 13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12. Pensions and Other Postretirement Benefits </w:t>
      </w:r>
    </w:p>
    <w:tbl>
      <w:tblPr>
        <w:tblW w:w="10205" w:type="dxa"/>
        <w:jc w:val="center"/>
        <w:tblInd w:w="0" w:type="dxa"/>
        <w:tblLayout w:type="fixed"/>
        <w:tblCellMar>
          <w:top w:w="28" w:type="dxa"/>
          <w:left w:w="28" w:type="dxa"/>
          <w:bottom w:w="28" w:type="dxa"/>
          <w:right w:w="28" w:type="dxa"/>
        </w:tblCellMar>
      </w:tblPr>
      <w:tblGrid>
        <w:gridCol w:w="1185"/>
        <w:gridCol w:w="894"/>
        <w:gridCol w:w="889"/>
        <w:gridCol w:w="225"/>
        <w:gridCol w:w="441"/>
        <w:gridCol w:w="116"/>
        <w:gridCol w:w="116"/>
        <w:gridCol w:w="116"/>
        <w:gridCol w:w="116"/>
        <w:gridCol w:w="237"/>
        <w:gridCol w:w="406"/>
        <w:gridCol w:w="123"/>
        <w:gridCol w:w="116"/>
        <w:gridCol w:w="116"/>
        <w:gridCol w:w="116"/>
        <w:gridCol w:w="367"/>
        <w:gridCol w:w="629"/>
        <w:gridCol w:w="189"/>
        <w:gridCol w:w="109"/>
        <w:gridCol w:w="109"/>
        <w:gridCol w:w="109"/>
        <w:gridCol w:w="224"/>
        <w:gridCol w:w="440"/>
        <w:gridCol w:w="116"/>
        <w:gridCol w:w="116"/>
        <w:gridCol w:w="116"/>
        <w:gridCol w:w="116"/>
        <w:gridCol w:w="237"/>
        <w:gridCol w:w="406"/>
        <w:gridCol w:w="123"/>
        <w:gridCol w:w="116"/>
        <w:gridCol w:w="116"/>
        <w:gridCol w:w="116"/>
        <w:gridCol w:w="357"/>
        <w:gridCol w:w="612"/>
        <w:gridCol w:w="270"/>
      </w:tblGrid>
      <w:tr>
        <w:trPr/>
        <w:tc>
          <w:tcPr>
            <w:tcW w:w="11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(credit)</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(gains) losses</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(income) expense</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60"/>
        <w:gridCol w:w="859"/>
        <w:gridCol w:w="854"/>
        <w:gridCol w:w="211"/>
        <w:gridCol w:w="514"/>
        <w:gridCol w:w="109"/>
        <w:gridCol w:w="109"/>
        <w:gridCol w:w="109"/>
        <w:gridCol w:w="109"/>
        <w:gridCol w:w="211"/>
        <w:gridCol w:w="466"/>
        <w:gridCol w:w="109"/>
        <w:gridCol w:w="109"/>
        <w:gridCol w:w="109"/>
        <w:gridCol w:w="109"/>
        <w:gridCol w:w="323"/>
        <w:gridCol w:w="714"/>
        <w:gridCol w:w="167"/>
        <w:gridCol w:w="109"/>
        <w:gridCol w:w="109"/>
        <w:gridCol w:w="109"/>
        <w:gridCol w:w="211"/>
        <w:gridCol w:w="514"/>
        <w:gridCol w:w="109"/>
        <w:gridCol w:w="109"/>
        <w:gridCol w:w="109"/>
        <w:gridCol w:w="109"/>
        <w:gridCol w:w="211"/>
        <w:gridCol w:w="466"/>
        <w:gridCol w:w="109"/>
        <w:gridCol w:w="109"/>
        <w:gridCol w:w="109"/>
        <w:gridCol w:w="109"/>
        <w:gridCol w:w="317"/>
        <w:gridCol w:w="700"/>
        <w:gridCol w:w="236"/>
      </w:tblGrid>
      <w:tr>
        <w:trPr/>
        <w:tc>
          <w:tcPr>
            <w:tcW w:w="116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(credit)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(gains) losses</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(income)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non-service cost components of net periodic pension and other postretirement benefits (OPEB) income presented in Interest income and other non-operating income, net are insignificant in the three months ended September 30, 2026 and 2025 and insignificant and $186 million in the nine months ended September 30, 2026 and 2025.</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13. Commitments, Contingencies, and Uncertainties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Litigation-Related Liability and Indirect Tax-Related Matters </w:t>
      </w:r>
      <w:r>
        <w:rPr>
          <w:rFonts w:ascii="Times New Roman;serif" w:hAnsi="Times New Roman;serif"/>
          <w:b w:val="false"/>
          <w:color w:val="000000"/>
          <w:sz w:val="20"/>
        </w:rPr>
        <w:t>In the normal course of our business, we are named from time to time as a defendant in 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2026 and December 31, 2025, we had accruals of $1.6 billion and $1.5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Opel/Vauxhall Sale</w:t>
      </w:r>
      <w:r>
        <w:rPr>
          <w:color w:val="000000"/>
        </w:rPr>
        <w:t xml:space="preserve"> </w:t>
      </w:r>
      <w:r>
        <w:rPr>
          <w:rFonts w:ascii="Times New Roman;serif" w:hAnsi="Times New Roman;serif"/>
          <w:b w:val="false"/>
          <w:color w:val="000000"/>
          <w:sz w:val="20"/>
        </w:rPr>
        <w:t>In 2017, we sold the Opel and Vauxhall businesses and certain other assets in Europe (the Opel/Vauxhall Business) to PSA Group, now 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Currently, various consumer lawsuits have been filed against the Seller and Stellantis in Germany, the United Kingdom,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Corporation (Takata) inflators in legacy Opel vehicles. We may in the future be required to further indemnify Stellantis relating to certain of its Takata recalls.</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Other Litigation-Related Liabilities</w:t>
      </w:r>
      <w:r>
        <w:rPr>
          <w:color w:val="000000"/>
        </w:rPr>
        <w:t xml:space="preserve"> </w:t>
      </w:r>
      <w:r>
        <w:rPr>
          <w:rFonts w:ascii="Times New Roman;serif" w:hAnsi="Times New Roman;serif"/>
          <w:b w:val="false"/>
          <w:color w:val="000000"/>
          <w:sz w:val="20"/>
        </w:rPr>
        <w:t>Various other legal actions, including class actions, governmental investigations, 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There ar</w:t>
      </w:r>
      <w:r>
        <w:rPr>
          <w:rFonts w:ascii="Times New Roman;serif" w:hAnsi="Times New Roman;serif"/>
          <w:b w:val="false"/>
          <w:color w:val="000000"/>
          <w:sz w:val="20"/>
          <w:shd w:fill="FFFFFF" w:val="clear"/>
        </w:rPr>
        <w:t>e several putat</w:t>
      </w:r>
      <w:r>
        <w:rPr>
          <w:rFonts w:ascii="Times New Roman;serif" w:hAnsi="Times New Roman;serif"/>
          <w:b w:val="false"/>
          <w:color w:val="000000"/>
          <w:sz w:val="20"/>
        </w:rPr>
        <w: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in part and affirmed in part the dismissal in one of the cases. In June 2025, a different panel in the second case affirmed in part, vacated in part, and remanded for further proceedings.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and GM appealed. In June 2025, the Sixth Circuit decertified all 26 state subclasses and remanded to the district court for further proceedings. In the three months ended September 30, 2026, we reached an agreement to settle these matters on terms consistent with our accrual, which was insignificant.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Takata Matters </w:t>
      </w:r>
      <w:r>
        <w:rPr>
          <w:rFonts w:ascii="Times New Roman;serif" w:hAnsi="Times New Roman;serif"/>
          <w:b w:val="false"/>
          <w:color w:val="000000"/>
          <w:sz w:val="20"/>
        </w:rPr>
        <w:t>In November 2020, the National Highway Traffic Safety Administration (NHTSA) directed that we replace the Takata airbag inflators in 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September 30, 2026, our remaining accrual for these matters was $0.3 billion, and we believe the currently accrued amount remains reasonable.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same U.S. court granted class certification as to a Louisiana claim but denied certification as to seven other states. At this stage of these proceedings, we are unable to provide an estimate of the amounts or range of reasonably possible material loss.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pPr>
      <w:r>
        <w:rPr>
          <w:rFonts w:ascii="Times New Roman;serif" w:hAnsi="Times New Roman;serif"/>
          <w:b/>
          <w:color w:val="000000"/>
          <w:sz w:val="20"/>
        </w:rPr>
        <w:t>ARC Matters</w:t>
      </w:r>
      <w:r>
        <w:rPr>
          <w:color w:val="000000"/>
        </w:rPr>
        <w:t xml:space="preserve"> </w:t>
      </w:r>
      <w:r>
        <w:rPr>
          <w:rFonts w:ascii="Times New Roman;serif" w:hAnsi="Times New Roman;serif"/>
          <w:b w:val="false"/>
          <w:color w:val="000000"/>
          <w:sz w:val="20"/>
        </w:rPr>
        <w:t>In May 2023, we initiated a voluntary recall covering nearly one million 2014–2017 model year Buick Enclave, Chevrolet Traverse, and 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were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Where our investigation has shown that a population of GM vehicles contains ARC inflators that pose an unreasonable risk to safety, we have appropriately recalled those vehicles, and our investigation is continuing.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Privacy and Consumer Protection Matters </w:t>
      </w:r>
      <w:r>
        <w:rPr>
          <w:rFonts w:ascii="Times New Roman;serif" w:hAnsi="Times New Roman;serif"/>
          <w:b w:val="false"/>
          <w:color w:val="000000"/>
          <w:sz w:val="20"/>
        </w:rPr>
        <w:t>There are putative class actions pending against GM in federal courts in the U.S. alleging violations of state 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During the six months ended June 30, 2026, the Company reached final settlements and entered into agreed consent orders with the Federal Trade Commission and regulators in the state of California. The Company is defending litigation filed against us and fully cooperating with other agencies and attorneys general that are conducting investigations. As of September 30, 2026, we had accrued $0.5 billion in connection with these investigations and litigations. At this stage, we are not able to estimate any reasonably possible or probable material loss or range of loss that may result from these actions beyond this accrual.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EV Supply Arbitrations </w:t>
      </w:r>
      <w:r>
        <w:rPr>
          <w:rFonts w:ascii="Times New Roman;serif" w:hAnsi="Times New Roman;serif"/>
          <w:b w:val="false"/>
          <w:color w:val="000000"/>
          <w:sz w:val="20"/>
        </w:rPr>
        <w:t>We are a party to two arbitrations relating to long-term EV supply agreements. In June 2026, we filed an arbitration against a battery material joint venture partner seeking termination of a supply agreement and to clarify various other contractual rights and obligations. Separately, in July 2026, a supplier of a component for EV traction motors initiated an arbitration against us seeking damages after we terminated a strategic sourcing agreement. At this time, we are unable to estimate any reasonably possible material loss or range of loss for these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Product Liability and Breach of Warranty </w:t>
      </w:r>
      <w:r>
        <w:rPr>
          <w:rFonts w:ascii="Times New Roman;serif" w:hAnsi="Times New Roman;serif"/>
          <w:b w:val="false"/>
          <w:color w:val="000000"/>
          <w:sz w:val="20"/>
        </w:rPr>
        <w:t>We record liabilities related to product liability claims in Accrued liabilities and Other liabilities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Guarantees </w:t>
      </w:r>
      <w:r>
        <w:rPr>
          <w:rFonts w:ascii="Times New Roman;serif" w:hAnsi="Times New Roman;serif"/>
          <w:b w:val="false"/>
          <w:color w:val="000000"/>
          <w:sz w:val="20"/>
        </w:rPr>
        <w:t xml:space="preserve">We enter into indemnification agreements for liability claims involving products manufactured primarily by certain joint ventures. These guarantees terminate in years ranging from 2026 to 2035, or upon the occurrence of specific events, or are ongoing. We believe that the related potential costs incurred are adequately covered by our recorded accruals,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are insignificant. The maximum future undiscounted payments mainly based on royalties received associated with vehicles sold to date were $4.1 billion and $3.5 billion for these guarantees at September 30, 2026 and December 31, 2025, the majority of which relates to the indemnification agreements.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Supplier Finance Programs </w:t>
      </w:r>
      <w:r>
        <w:rPr>
          <w:rFonts w:ascii="Times New Roman;serif" w:hAnsi="Times New Roman;serif"/>
          <w:b w:val="false"/>
          <w:color w:val="000000"/>
          <w:sz w:val="20"/>
        </w:rPr>
        <w:t>Third-party finance providers offer certain suppliers the option for payment in advance of their invoice due date through 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$1.2 billion and $1.1 billion at September 30, 2026 and December 31, 2025, which are recorded in Accounts payable (principally trade).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Indirect Tax-Related Matters</w:t>
      </w:r>
      <w:r>
        <w:rPr>
          <w:color w:val="000000"/>
        </w:rPr>
        <w:t xml:space="preserve"> </w:t>
      </w:r>
      <w:r>
        <w:rPr>
          <w:rFonts w:ascii="Times New Roman;serif" w:hAnsi="Times New Roman;serif"/>
          <w:b w:val="false"/>
          <w:color w:val="000000"/>
          <w:sz w:val="20"/>
        </w:rPr>
        <w:t>Tax matters not subject to the provision of Accounting Standards Codification 740, "Income Taxes" that pertain to value added taxes, customs, duties, sales tax, property taxes, and other non-income tax exposures are evaluated globally. For indirect tax-related matters, we estimate our reasonably possible loss in excess of amounts accrued to be up to $1.0 billion at September 30, 2026.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Emissions-Related Uncertainties </w:t>
      </w:r>
      <w:r>
        <w:rPr>
          <w:rFonts w:ascii="Times New Roman;serif" w:hAnsi="Times New Roman;serif"/>
          <w:b w:val="false"/>
          <w:color w:val="000000"/>
          <w:sz w:val="20"/>
        </w:rPr>
        <w:t>We are subject to state and federal governmental regulations, as well as regulations from governments outside of the U.S., relating to fuel economy standards and emissions. There are several methods to comply with these regulations that we have utilized and may continue to utilize, including, but not limited to, increasing production and sales of certain vehicles; curtailing production of certain vehicles; making certain technology changes; purchasing credits from third parties; and/or paying civil penalties. The U.S. Government has taken actions to reduce the stringency and/or scope of these regulations. During the year ended December 31, 2025, the civil penalties for noncompliance with corporate average fuel economy (CAFE) standards were set to zero for all non-finalized model years, and NHTSA recently finalized standards for the 2022-2031 model years that reduce stringency from the prior standards. In 2026, the Environmental Protection Agency (EPA) finalized a rule repealing its "endangerment finding" thereby removing greenhouse gas (GHG) regulations for light-, medium-, and heavy-duty on-highway vehicles on a retrospective and prospective basis. Litigation over the EPA's endangerment repeal and NHTSA's final action to alter U.S. CAFE regulations has commenced. The CAFE litigation could result in the revised rules being vacated until the conclusion of the legal proceedings, which is unlikely to occur in the near term.</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Under current regulations, shortfalls to certain emissions standards could result in legal or regulatory proceedings against us, the recall or decertification of one or more of our products, negotiated remedial actions, fines and penalties, and/or restricted product offerings. Based on our current and forecasted sales mix, we expect to continue to have shortfalls in complying with current U.S. regulations. We recorded compliance-related costs of an insignificant amount and $0.3 billion in the three months ended September 30, 2026 and 2025 and $0.7 billion in the nine months ended September 30, 2026 and 2025 in Automotive and other cost of sales. In the nine months ended September 30, 2026, our compliance-related costs reflect a net charge of $0.5 billion associated with compliance-related assets due to the repeal of the EPA's endangerment finding in April 2026. Additional compliance costs, under current regulations, including potential fines and penalties, are not reasonably estimable. At September 30, 2026, the carrying amount of our compliance-related assets was $0.7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In the three and nine months ended September 30, 2026, Income ta</w:t>
      </w:r>
      <w:r>
        <w:rPr>
          <w:rFonts w:ascii="Times New Roman;serif" w:hAnsi="Times New Roman;serif"/>
          <w:b w:val="false"/>
          <w:color w:val="000000"/>
          <w:sz w:val="20"/>
          <w:shd w:fill="FFFFFF" w:val="clear"/>
        </w:rPr>
        <w:t>x expense of </w:t>
      </w:r>
      <w:r>
        <w:rPr>
          <w:rFonts w:ascii="Times New Roman;serif" w:hAnsi="Times New Roman;serif"/>
          <w:b w:val="false"/>
          <w:color w:val="000000"/>
          <w:sz w:val="20"/>
        </w:rPr>
        <w:t>$565 million and $1.4 billion was primarily due to tax expense attributable to entities included in our effective tax rate calculation, partially offset by a $208 million tax benefit attributable to deferred tax assets that were considered realizable as a result of a change to a subsidiary's legal entity tax classification.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 xml:space="preserve">In the three and nine months ended September 30, 2025, Income tax expense of $127 million and </w:t>
      </w:r>
      <w:r>
        <w:rPr>
          <w:rFonts w:ascii="Times New Roman;serif" w:hAnsi="Times New Roman;serif"/>
          <w:b w:val="false"/>
          <w:color w:val="000000"/>
          <w:sz w:val="20"/>
          <w:shd w:fill="FFFFFF" w:val="clear"/>
        </w:rPr>
        <w:t>$1.3 billion was primarily due to tax expense attributable to entities included in our effective tax rate calculation.</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Restructuring and Other Initiatives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reserves and charges related to restructuring and other initiatives, including postemployment benefit reserves and charges: </w:t>
      </w:r>
    </w:p>
    <w:tbl>
      <w:tblPr>
        <w:tblW w:w="10205" w:type="dxa"/>
        <w:jc w:val="left"/>
        <w:tblInd w:w="0" w:type="dxa"/>
        <w:tblLayout w:type="fixed"/>
        <w:tblCellMar>
          <w:top w:w="28" w:type="dxa"/>
          <w:left w:w="28" w:type="dxa"/>
          <w:bottom w:w="28" w:type="dxa"/>
          <w:right w:w="28" w:type="dxa"/>
        </w:tblCellMar>
      </w:tblPr>
      <w:tblGrid>
        <w:gridCol w:w="1312"/>
        <w:gridCol w:w="1135"/>
        <w:gridCol w:w="1138"/>
        <w:gridCol w:w="315"/>
        <w:gridCol w:w="922"/>
        <w:gridCol w:w="163"/>
        <w:gridCol w:w="109"/>
        <w:gridCol w:w="109"/>
        <w:gridCol w:w="109"/>
        <w:gridCol w:w="370"/>
        <w:gridCol w:w="821"/>
        <w:gridCol w:w="193"/>
        <w:gridCol w:w="109"/>
        <w:gridCol w:w="109"/>
        <w:gridCol w:w="109"/>
        <w:gridCol w:w="315"/>
        <w:gridCol w:w="922"/>
        <w:gridCol w:w="163"/>
        <w:gridCol w:w="109"/>
        <w:gridCol w:w="109"/>
        <w:gridCol w:w="109"/>
        <w:gridCol w:w="311"/>
        <w:gridCol w:w="909"/>
        <w:gridCol w:w="235"/>
      </w:tblGrid>
      <w:tr>
        <w:trPr/>
        <w:tc>
          <w:tcPr>
            <w:tcW w:w="131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Additions, interest accretion, and other</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Reductions and payments(a)</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Revisions to estimates and effect of foreign currency</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amounts that have been reclassified to accounts payable that are being processed for payment.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charges of $7.9 billion in GMNA related to our EV strategic realignment. These charges included non-cash impairment and other charges of $3.2 billion and cash related charges of $4.7 billion, primarily consisting of supplier commercial settlements, contract cancellation fees, battery cell JV settlements, and other charges that will have a cash impact when paid. The non-cash impairment charges include the cost of writing down EV-related tooling and equipment to its nominal salvage value. We incurred cash outflows of $400 million related to these charges in the year ended December 31, 2025. In the three months ended September 30, 2026, we recorded an insignificant amount of additional net charges. For the nine months ended September 30, 2026, net charges were $3.6 billion, primarily related to $2.5 billion for ongoing commercial negotiations with our supply base and joint venture partners, $1.3 billion of losses on supply agreements, and $493 million associated with compliance-related assets, net of $660 million of recoveries under a cost sharing arrangement. Of these charges, $2.7 billion will have a cash impact when paid. The charges associated with losses on supply agreements and compliance-related assets are not included in the table above. We incurred cash outflows of $4.2 billion related to these charges in the nine months ended September 30, 2026. We expect to recognize additional charges in the year ending December 31, 2026, and while circumstances may change in the future, we believe we have substantially completed the recognition of material cash charges related to our EV strategic realignment.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Stockholders' Equity and Noncontrolling Interests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have 2.0 billion shares of preferred stock and 5.0 billion shares of common stock authorized for issuance. We had no shares of preferred stock issued and outstanding at September 30, 2026 and December 31, 2025. We had 849 million and 904 million shares of common stock issued and outstanding at September 30, 2026 and December 31, 2025.</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pPr>
      <w:r>
        <w:rPr>
          <w:rFonts w:ascii="Times New Roman;serif" w:hAnsi="Times New Roman;serif"/>
          <w:b/>
          <w:color w:val="000000"/>
          <w:sz w:val="20"/>
        </w:rPr>
        <w:t>Common Stock</w:t>
      </w:r>
      <w:r>
        <w:rPr>
          <w:color w:val="000000"/>
        </w:rPr>
        <w:t xml:space="preserve"> </w:t>
      </w:r>
      <w:r>
        <w:rPr>
          <w:rFonts w:ascii="Times New Roman;serif" w:hAnsi="Times New Roman;serif"/>
          <w:b w:val="false"/>
          <w:color w:val="000000"/>
          <w:sz w:val="20"/>
        </w:rPr>
        <w:t>Holders of our common stock are entitled to dividends at the sole discretion of our Board of Directors. Our dividends declared per common share were $0.18 and $0.54 for the three and nine months ended September 30, 2026 and $0.15 and $0.42 for the three and nine months ended September 30, 2025. Our total dividends paid on common stock were $156 million and $480 million for the three and nine months ended September 30, 2026 and $141 million and $401 million for the three and nine months ended September 30,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shd w:fill="FFFFFF" w:val="clear"/>
        </w:rPr>
        <w:t>In February 2025, we executed an accelerated share repurchase (ASR) program to repurchase an aggregate amount of $2.0 billion of our outstanding common stock. In the nine months ended September 30, 2025,</w:t>
      </w:r>
      <w:r>
        <w:rPr>
          <w:color w:val="000000"/>
        </w:rPr>
        <w:t xml:space="preserve"> </w:t>
      </w:r>
      <w:r>
        <w:rPr>
          <w:rFonts w:ascii="Times New Roman;serif" w:hAnsi="Times New Roman;serif"/>
          <w:b w:val="false"/>
          <w:color w:val="000000"/>
          <w:sz w:val="20"/>
        </w:rPr>
        <w:t>we received and retired 43 million shares to complete the program.</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January 2026, our Board of Directors increased the capacity under our existing share repurchase program by $6.0 billion to an aggregate of $6.3 billion, which we fully utilized in October 2026. Our Board of Directors authorized, in October 2026, $20.0 billion of additional repurchases under our existing share repurchase program, with no expiration date.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and 2025, in addition to the shares repurchased under the ASR program, we repurchased 65 million and 27 million outstanding shares of our common stock for $5.3 billion and $1.5 billion.</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Cruise Common and Preferred Shares</w:t>
      </w:r>
      <w:r>
        <w:rPr>
          <w:color w:val="000000"/>
        </w:rPr>
        <w:t xml:space="preserve"> </w:t>
      </w:r>
      <w:r>
        <w:rPr>
          <w:rFonts w:ascii="Times New Roman;serif" w:hAnsi="Times New Roman;serif"/>
          <w:b w:val="false"/>
          <w:color w:val="000000"/>
          <w:sz w:val="20"/>
        </w:rPr>
        <w:t>In February 2025, we acquired all of the Cruise common shares and Cruise Class F and Class G Preferred Shares held by noncontrolling shareholders for an insignificant amount. We have completed the process of compensating the former Cruise shareholders.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net income attributable to stockholders and transfers to the noncontrolling interest in Cruise and other subsidiaries were $1.3 billion and $6.5 billion, which includes a $538 million increase in equity attributable to us, primarily due to the redemption of Cruise preferred shares in February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significant components of Accumulated other comprehensive loss: </w:t>
      </w:r>
    </w:p>
    <w:tbl>
      <w:tblPr>
        <w:tblW w:w="10205" w:type="dxa"/>
        <w:jc w:val="left"/>
        <w:tblInd w:w="0" w:type="dxa"/>
        <w:tblLayout w:type="fixed"/>
        <w:tblCellMar>
          <w:top w:w="28" w:type="dxa"/>
          <w:left w:w="28" w:type="dxa"/>
          <w:bottom w:w="28" w:type="dxa"/>
          <w:right w:w="28" w:type="dxa"/>
        </w:tblCellMar>
      </w:tblPr>
      <w:tblGrid>
        <w:gridCol w:w="1668"/>
        <w:gridCol w:w="1313"/>
        <w:gridCol w:w="1317"/>
        <w:gridCol w:w="251"/>
        <w:gridCol w:w="784"/>
        <w:gridCol w:w="129"/>
        <w:gridCol w:w="109"/>
        <w:gridCol w:w="109"/>
        <w:gridCol w:w="109"/>
        <w:gridCol w:w="251"/>
        <w:gridCol w:w="784"/>
        <w:gridCol w:w="129"/>
        <w:gridCol w:w="109"/>
        <w:gridCol w:w="109"/>
        <w:gridCol w:w="109"/>
        <w:gridCol w:w="109"/>
        <w:gridCol w:w="109"/>
        <w:gridCol w:w="251"/>
        <w:gridCol w:w="784"/>
        <w:gridCol w:w="129"/>
        <w:gridCol w:w="109"/>
        <w:gridCol w:w="109"/>
        <w:gridCol w:w="109"/>
        <w:gridCol w:w="249"/>
        <w:gridCol w:w="779"/>
        <w:gridCol w:w="188"/>
      </w:tblGrid>
      <w:tr>
        <w:trPr/>
        <w:tc>
          <w:tcPr>
            <w:tcW w:w="166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interests, net of reclassification adjustment and tax(a)(b)(c)</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Defined Benefit Plans</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interests before reclassification adjustment, net of tax(a)(c)</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net of tax(c)</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interests, net of reclassification adjustment and tax(a)(c)</w:t>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period(d)</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 (Loss) on Cash Flow Hedges</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interests before reclassification adjustment, net of tax(a)(c)</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net of tax(c)</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tax(a)(c)</w:t>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noncontrolling interests were insignificant in the three and nine months ended September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reclassification adjustment was insignificant in the three and nine months ended September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(c)The income tax effect was insignificant in the three and nine months ended September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(d)Primarily consists of unamortized actuarial loss on our defined benefit plans. Refer to Note 2. Significant Accounting Policies of our 2025 Form 10-K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Earnings Per Share</w:t>
      </w:r>
    </w:p>
    <w:tbl>
      <w:tblPr>
        <w:tblW w:w="10205" w:type="dxa"/>
        <w:jc w:val="left"/>
        <w:tblInd w:w="0" w:type="dxa"/>
        <w:tblLayout w:type="fixed"/>
        <w:tblCellMar>
          <w:top w:w="28" w:type="dxa"/>
          <w:left w:w="28" w:type="dxa"/>
          <w:bottom w:w="28" w:type="dxa"/>
          <w:right w:w="28" w:type="dxa"/>
        </w:tblCellMar>
      </w:tblPr>
      <w:tblGrid>
        <w:gridCol w:w="1602"/>
        <w:gridCol w:w="1155"/>
        <w:gridCol w:w="1165"/>
        <w:gridCol w:w="296"/>
        <w:gridCol w:w="864"/>
        <w:gridCol w:w="153"/>
        <w:gridCol w:w="109"/>
        <w:gridCol w:w="109"/>
        <w:gridCol w:w="109"/>
        <w:gridCol w:w="296"/>
        <w:gridCol w:w="864"/>
        <w:gridCol w:w="153"/>
        <w:gridCol w:w="109"/>
        <w:gridCol w:w="109"/>
        <w:gridCol w:w="109"/>
        <w:gridCol w:w="296"/>
        <w:gridCol w:w="864"/>
        <w:gridCol w:w="153"/>
        <w:gridCol w:w="109"/>
        <w:gridCol w:w="109"/>
        <w:gridCol w:w="109"/>
        <w:gridCol w:w="292"/>
        <w:gridCol w:w="853"/>
        <w:gridCol w:w="218"/>
      </w:tblGrid>
      <w:tr>
        <w:trPr/>
        <w:tc>
          <w:tcPr>
            <w:tcW w:w="160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stockholders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 diluted</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awards under stock incentive plans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securities(b)</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a $593 million return from the preferred shareholders related to the redemption of Cruise preferred shares from noncontrolling interest holders in the nine months ended September 30,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(b)Potentially dilutive securities attributable to Restricted Stock Units (RSUs) and Performance Stock Units (PSUs) at September 30, 2026 and outstanding stock options, PSUs, and RSUs at September 30, 2025 were excluded from the computation of diluted earnings per share (EPS) because the securities would have had an antidilutive effect.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18. Segment Reporting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decision-maker, who is our Chair and Chief Executive Officer, analyzes the results of our business through the following reportable segments: GMNA, GMI, and GM Financial. Our chief operating decision-maker evaluates the operating results and performance of our Automotive operations through earnings before interest and income taxes (EBIT)-adjusted, which is presented net of noncontrolling interests. Our chief operating decision-maker evaluates GM Financial through earnings before income taxes-adjusted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 </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Our Cruise business was pursuing the development and commercialization of autonomous vehicle (AV) technology until, in December 2024, we announced plans to refocus our autonomous driving strategy on personal vehicles and no longer fund Cruise's robotaxi development work. We have combined the GM and Cruise ongoing personal autonomous technical efforts in our GMNA segment. We provide automotive financing services through our GM Financial segment.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automotive interest income and interest expense, corporate expenditures, legacy costs from the Opel/Vauxhall Business (primarily pension costs),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key financial information by segment:</w:t>
      </w:r>
    </w:p>
    <w:tbl>
      <w:tblPr>
        <w:tblW w:w="9665" w:type="dxa"/>
        <w:jc w:val="left"/>
        <w:tblInd w:w="0" w:type="dxa"/>
        <w:tblLayout w:type="fixed"/>
        <w:tblCellMar>
          <w:top w:w="28" w:type="dxa"/>
          <w:left w:w="28" w:type="dxa"/>
          <w:bottom w:w="28" w:type="dxa"/>
          <w:right w:w="28" w:type="dxa"/>
        </w:tblCellMar>
      </w:tblPr>
      <w:tblGrid>
        <w:gridCol w:w="1240"/>
        <w:gridCol w:w="1085"/>
        <w:gridCol w:w="1095"/>
        <w:gridCol w:w="109"/>
        <w:gridCol w:w="109"/>
        <w:gridCol w:w="109"/>
        <w:gridCol w:w="109"/>
        <w:gridCol w:w="109"/>
        <w:gridCol w:w="109"/>
        <w:gridCol w:w="190"/>
        <w:gridCol w:w="570"/>
        <w:gridCol w:w="114"/>
        <w:gridCol w:w="114"/>
        <w:gridCol w:w="114"/>
        <w:gridCol w:w="114"/>
        <w:gridCol w:w="190"/>
        <w:gridCol w:w="491"/>
        <w:gridCol w:w="114"/>
        <w:gridCol w:w="114"/>
        <w:gridCol w:w="114"/>
        <w:gridCol w:w="114"/>
        <w:gridCol w:w="114"/>
        <w:gridCol w:w="114"/>
        <w:gridCol w:w="222"/>
        <w:gridCol w:w="574"/>
        <w:gridCol w:w="133"/>
        <w:gridCol w:w="109"/>
        <w:gridCol w:w="109"/>
        <w:gridCol w:w="109"/>
        <w:gridCol w:w="362"/>
        <w:gridCol w:w="1084"/>
        <w:gridCol w:w="308"/>
      </w:tblGrid>
      <w:tr>
        <w:trPr/>
        <w:tc>
          <w:tcPr>
            <w:tcW w:w="12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At and For the Three Months Ended September 30, 2026</w:t>
            </w:r>
          </w:p>
        </w:tc>
        <w:tc>
          <w:tcPr>
            <w:tcW w:w="2081"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41,419 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49,816 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4,289 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3,943 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23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23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23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23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23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2"/>
        <w:gridCol w:w="559"/>
        <w:gridCol w:w="384"/>
        <w:gridCol w:w="181"/>
        <w:gridCol w:w="616"/>
        <w:gridCol w:w="109"/>
        <w:gridCol w:w="109"/>
        <w:gridCol w:w="109"/>
        <w:gridCol w:w="109"/>
        <w:gridCol w:w="181"/>
        <w:gridCol w:w="541"/>
        <w:gridCol w:w="109"/>
        <w:gridCol w:w="109"/>
        <w:gridCol w:w="109"/>
        <w:gridCol w:w="109"/>
        <w:gridCol w:w="109"/>
        <w:gridCol w:w="109"/>
        <w:gridCol w:w="182"/>
        <w:gridCol w:w="620"/>
        <w:gridCol w:w="109"/>
        <w:gridCol w:w="109"/>
        <w:gridCol w:w="109"/>
        <w:gridCol w:w="109"/>
        <w:gridCol w:w="223"/>
        <w:gridCol w:w="761"/>
        <w:gridCol w:w="134"/>
        <w:gridCol w:w="109"/>
        <w:gridCol w:w="109"/>
        <w:gridCol w:w="109"/>
        <w:gridCol w:w="181"/>
        <w:gridCol w:w="541"/>
        <w:gridCol w:w="109"/>
        <w:gridCol w:w="109"/>
        <w:gridCol w:w="109"/>
        <w:gridCol w:w="109"/>
        <w:gridCol w:w="181"/>
        <w:gridCol w:w="597"/>
        <w:gridCol w:w="109"/>
        <w:gridCol w:w="109"/>
        <w:gridCol w:w="109"/>
        <w:gridCol w:w="109"/>
        <w:gridCol w:w="181"/>
        <w:gridCol w:w="616"/>
        <w:gridCol w:w="159"/>
      </w:tblGrid>
      <w:tr>
        <w:trPr/>
        <w:tc>
          <w:tcPr>
            <w:tcW w:w="6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49,816 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50,015 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assets of nonconsolidated affiliates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and intangibles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289,183 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pPr>
      <w:r>
        <w:rPr>
          <w:rFonts w:ascii="Times New Roman;serif" w:hAnsi="Times New Roman;serif"/>
          <w:b w:val="false"/>
          <w:color w:val="000000"/>
          <w:sz w:val="14"/>
          <w:shd w:fill="FFFFFF" w:val="clear"/>
        </w:rPr>
        <w:t>(a)</w:t>
      </w:r>
      <w:r>
        <w:rPr>
          <w:rFonts w:ascii="Times New Roman;serif" w:hAnsi="Times New Roman;serif"/>
          <w:b w:val="false"/>
          <w:color w:val="000000"/>
          <w:sz w:val="14"/>
        </w:rPr>
        <w:t>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in GMNA.</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(c)Equity income (loss) in GMNA includes gains from the sale of an equity investment. Equity income (loss) related to Ultium Cells Holdings LLC is presented in Automotive and other cost of sales as this entity has historically been integral to the operations of our business by providing battery cells for our EVs. Refer to Note 7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10205" w:type="dxa"/>
        <w:jc w:val="left"/>
        <w:tblInd w:w="0" w:type="dxa"/>
        <w:tblLayout w:type="fixed"/>
        <w:tblCellMar>
          <w:top w:w="28" w:type="dxa"/>
          <w:left w:w="28" w:type="dxa"/>
          <w:bottom w:w="28" w:type="dxa"/>
          <w:right w:w="28" w:type="dxa"/>
        </w:tblCellMar>
      </w:tblPr>
      <w:tblGrid>
        <w:gridCol w:w="1211"/>
        <w:gridCol w:w="1041"/>
        <w:gridCol w:w="1051"/>
        <w:gridCol w:w="109"/>
        <w:gridCol w:w="109"/>
        <w:gridCol w:w="181"/>
        <w:gridCol w:w="541"/>
        <w:gridCol w:w="109"/>
        <w:gridCol w:w="109"/>
        <w:gridCol w:w="181"/>
        <w:gridCol w:w="466"/>
        <w:gridCol w:w="109"/>
        <w:gridCol w:w="109"/>
        <w:gridCol w:w="122"/>
        <w:gridCol w:w="122"/>
        <w:gridCol w:w="122"/>
        <w:gridCol w:w="122"/>
        <w:gridCol w:w="122"/>
        <w:gridCol w:w="122"/>
        <w:gridCol w:w="220"/>
        <w:gridCol w:w="568"/>
        <w:gridCol w:w="132"/>
        <w:gridCol w:w="122"/>
        <w:gridCol w:w="122"/>
        <w:gridCol w:w="122"/>
        <w:gridCol w:w="362"/>
        <w:gridCol w:w="1085"/>
        <w:gridCol w:w="218"/>
        <w:gridCol w:w="122"/>
        <w:gridCol w:w="122"/>
        <w:gridCol w:w="122"/>
        <w:gridCol w:w="122"/>
        <w:gridCol w:w="109"/>
        <w:gridCol w:w="109"/>
        <w:gridCol w:w="109"/>
        <w:gridCol w:w="109"/>
        <w:gridCol w:w="109"/>
        <w:gridCol w:w="163"/>
      </w:tblGrid>
      <w:tr>
        <w:trPr/>
        <w:tc>
          <w:tcPr>
            <w:tcW w:w="1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At and For the Three Months Ended September 30, 2025</w:t>
            </w:r>
          </w:p>
        </w:tc>
        <w:tc>
          <w:tcPr>
            <w:tcW w:w="708" w:type="dxa"/>
            <w:gridSpan w:val="6"/>
            <w:tcBorders/>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48,533 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3,536 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1,419 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6" w:type="dxa"/>
            <w:gridSpan w:val="10"/>
            <w:tcBorders/>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bl>
    <w:tbl>
      <w:tblPr>
        <w:tblW w:w="10298" w:type="dxa"/>
        <w:jc w:val="left"/>
        <w:tblInd w:w="0" w:type="dxa"/>
        <w:tblLayout w:type="fixed"/>
        <w:tblCellMar>
          <w:top w:w="28" w:type="dxa"/>
          <w:left w:w="28" w:type="dxa"/>
          <w:bottom w:w="28" w:type="dxa"/>
          <w:right w:w="28" w:type="dxa"/>
        </w:tblCellMar>
      </w:tblPr>
      <w:tblGrid>
        <w:gridCol w:w="489"/>
        <w:gridCol w:w="424"/>
        <w:gridCol w:w="183"/>
        <w:gridCol w:w="181"/>
        <w:gridCol w:w="616"/>
        <w:gridCol w:w="109"/>
        <w:gridCol w:w="109"/>
        <w:gridCol w:w="109"/>
        <w:gridCol w:w="109"/>
        <w:gridCol w:w="181"/>
        <w:gridCol w:w="541"/>
        <w:gridCol w:w="109"/>
        <w:gridCol w:w="109"/>
        <w:gridCol w:w="109"/>
        <w:gridCol w:w="109"/>
        <w:gridCol w:w="181"/>
        <w:gridCol w:w="406"/>
        <w:gridCol w:w="109"/>
        <w:gridCol w:w="109"/>
        <w:gridCol w:w="109"/>
        <w:gridCol w:w="109"/>
        <w:gridCol w:w="181"/>
        <w:gridCol w:w="616"/>
        <w:gridCol w:w="109"/>
        <w:gridCol w:w="109"/>
        <w:gridCol w:w="109"/>
        <w:gridCol w:w="109"/>
        <w:gridCol w:w="181"/>
        <w:gridCol w:w="616"/>
        <w:gridCol w:w="109"/>
        <w:gridCol w:w="109"/>
        <w:gridCol w:w="109"/>
        <w:gridCol w:w="109"/>
        <w:gridCol w:w="181"/>
        <w:gridCol w:w="541"/>
        <w:gridCol w:w="109"/>
        <w:gridCol w:w="109"/>
        <w:gridCol w:w="109"/>
        <w:gridCol w:w="109"/>
        <w:gridCol w:w="181"/>
        <w:gridCol w:w="596"/>
        <w:gridCol w:w="109"/>
        <w:gridCol w:w="109"/>
        <w:gridCol w:w="109"/>
        <w:gridCol w:w="109"/>
        <w:gridCol w:w="181"/>
        <w:gridCol w:w="61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assets of nonconsolidated affiliates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and intangibles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legal matters, and restructuring and other strategic actions in GMNA.</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(c)Equity income (loss) related to Ultium Cells Holdings LLC is presented in Automotive and other cost of sales as this entity has historically been integral to the operations of our business by providing battery cells for our EVs. Refer to Note 7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9695" w:type="dxa"/>
        <w:jc w:val="left"/>
        <w:tblInd w:w="0" w:type="dxa"/>
        <w:tblLayout w:type="fixed"/>
        <w:tblCellMar>
          <w:top w:w="28" w:type="dxa"/>
          <w:left w:w="28" w:type="dxa"/>
          <w:bottom w:w="28" w:type="dxa"/>
          <w:right w:w="28" w:type="dxa"/>
        </w:tblCellMar>
      </w:tblPr>
      <w:tblGrid>
        <w:gridCol w:w="1240"/>
        <w:gridCol w:w="1085"/>
        <w:gridCol w:w="1095"/>
        <w:gridCol w:w="109"/>
        <w:gridCol w:w="109"/>
        <w:gridCol w:w="109"/>
        <w:gridCol w:w="109"/>
        <w:gridCol w:w="109"/>
        <w:gridCol w:w="109"/>
        <w:gridCol w:w="181"/>
        <w:gridCol w:w="616"/>
        <w:gridCol w:w="109"/>
        <w:gridCol w:w="109"/>
        <w:gridCol w:w="109"/>
        <w:gridCol w:w="109"/>
        <w:gridCol w:w="181"/>
        <w:gridCol w:w="541"/>
        <w:gridCol w:w="109"/>
        <w:gridCol w:w="109"/>
        <w:gridCol w:w="109"/>
        <w:gridCol w:w="109"/>
        <w:gridCol w:w="109"/>
        <w:gridCol w:w="109"/>
        <w:gridCol w:w="202"/>
        <w:gridCol w:w="606"/>
        <w:gridCol w:w="122"/>
        <w:gridCol w:w="109"/>
        <w:gridCol w:w="109"/>
        <w:gridCol w:w="109"/>
        <w:gridCol w:w="334"/>
        <w:gridCol w:w="1137"/>
        <w:gridCol w:w="284"/>
      </w:tblGrid>
      <w:tr>
        <w:trPr/>
        <w:tc>
          <w:tcPr>
            <w:tcW w:w="12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9"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 the Nine Months Ended September 30, 2026</w:t>
            </w:r>
          </w:p>
        </w:tc>
        <w:tc>
          <w:tcPr>
            <w:tcW w:w="2082"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12,855 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141,222 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13,003 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168 </w:t>
            </w:r>
          </w:p>
        </w:tc>
        <w:tc>
          <w:tcPr>
            <w:tcW w:w="2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8,858 </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
        <w:gridCol w:w="435"/>
        <w:gridCol w:w="426"/>
        <w:gridCol w:w="181"/>
        <w:gridCol w:w="616"/>
        <w:gridCol w:w="109"/>
        <w:gridCol w:w="109"/>
        <w:gridCol w:w="109"/>
        <w:gridCol w:w="109"/>
        <w:gridCol w:w="181"/>
        <w:gridCol w:w="541"/>
        <w:gridCol w:w="109"/>
        <w:gridCol w:w="109"/>
        <w:gridCol w:w="109"/>
        <w:gridCol w:w="109"/>
        <w:gridCol w:w="109"/>
        <w:gridCol w:w="109"/>
        <w:gridCol w:w="193"/>
        <w:gridCol w:w="579"/>
        <w:gridCol w:w="116"/>
        <w:gridCol w:w="109"/>
        <w:gridCol w:w="109"/>
        <w:gridCol w:w="109"/>
        <w:gridCol w:w="275"/>
        <w:gridCol w:w="938"/>
        <w:gridCol w:w="165"/>
        <w:gridCol w:w="109"/>
        <w:gridCol w:w="109"/>
        <w:gridCol w:w="109"/>
        <w:gridCol w:w="187"/>
        <w:gridCol w:w="420"/>
        <w:gridCol w:w="114"/>
        <w:gridCol w:w="109"/>
        <w:gridCol w:w="109"/>
        <w:gridCol w:w="109"/>
        <w:gridCol w:w="230"/>
        <w:gridCol w:w="516"/>
        <w:gridCol w:w="140"/>
        <w:gridCol w:w="109"/>
        <w:gridCol w:w="109"/>
        <w:gridCol w:w="109"/>
        <w:gridCol w:w="181"/>
        <w:gridCol w:w="616"/>
        <w:gridCol w:w="159"/>
      </w:tblGrid>
      <w:tr>
        <w:trPr/>
        <w:tc>
          <w:tcPr>
            <w:tcW w:w="5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12,855 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141,222 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141,665 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100" w:after="283"/>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inclusive of a net non-cash charge of $493 million associated with compliance-related assets, in GMNA and China restructuring actions in GMNA and GMI.</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(c)Equity income (loss) in GMNA includes impacts of impairment charges for EV strategic realignment and gains from the sale of an equity investment and Equity income (loss) associated with our Automotive China JVs includes impacts of our portion of restructuring charges. Equity income (loss) related to Ultium Cells Holdings LLC is presented in Automotive and other cost of sales as this entity has historically been integral to the operations of our business by providing battery cells for our EVs. Refer to Note 7 for additional information.</w:t>
      </w:r>
    </w:p>
    <w:tbl>
      <w:tblPr>
        <w:tblW w:w="10205" w:type="dxa"/>
        <w:jc w:val="left"/>
        <w:tblInd w:w="0" w:type="dxa"/>
        <w:tblLayout w:type="fixed"/>
        <w:tblCellMar>
          <w:top w:w="28" w:type="dxa"/>
          <w:left w:w="28" w:type="dxa"/>
          <w:bottom w:w="28" w:type="dxa"/>
          <w:right w:w="28" w:type="dxa"/>
        </w:tblCellMar>
      </w:tblPr>
      <w:tblGrid>
        <w:gridCol w:w="1178"/>
        <w:gridCol w:w="992"/>
        <w:gridCol w:w="1001"/>
        <w:gridCol w:w="109"/>
        <w:gridCol w:w="109"/>
        <w:gridCol w:w="109"/>
        <w:gridCol w:w="109"/>
        <w:gridCol w:w="109"/>
        <w:gridCol w:w="109"/>
        <w:gridCol w:w="181"/>
        <w:gridCol w:w="616"/>
        <w:gridCol w:w="109"/>
        <w:gridCol w:w="109"/>
        <w:gridCol w:w="109"/>
        <w:gridCol w:w="109"/>
        <w:gridCol w:w="181"/>
        <w:gridCol w:w="466"/>
        <w:gridCol w:w="109"/>
        <w:gridCol w:w="109"/>
        <w:gridCol w:w="109"/>
        <w:gridCol w:w="109"/>
        <w:gridCol w:w="181"/>
        <w:gridCol w:w="416"/>
        <w:gridCol w:w="109"/>
        <w:gridCol w:w="109"/>
        <w:gridCol w:w="109"/>
        <w:gridCol w:w="109"/>
        <w:gridCol w:w="199"/>
        <w:gridCol w:w="599"/>
        <w:gridCol w:w="120"/>
        <w:gridCol w:w="109"/>
        <w:gridCol w:w="109"/>
        <w:gridCol w:w="109"/>
        <w:gridCol w:w="109"/>
        <w:gridCol w:w="318"/>
        <w:gridCol w:w="1083"/>
        <w:gridCol w:w="276"/>
      </w:tblGrid>
      <w:tr>
        <w:trPr/>
        <w:tc>
          <w:tcPr>
            <w:tcW w:w="117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Nine Months Ended September 30, 2025</w:t>
            </w:r>
          </w:p>
        </w:tc>
        <w:tc>
          <w:tcPr>
            <w:tcW w:w="1677" w:type="dxa"/>
            <w:gridSpan w:val="3"/>
            <w:tcBorders/>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139,579 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7,366 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58" w:type="dxa"/>
            <w:gridSpan w:val="13"/>
            <w:tcBorders/>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58" w:type="dxa"/>
            <w:gridSpan w:val="13"/>
            <w:tcBorders/>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58" w:type="dxa"/>
            <w:gridSpan w:val="13"/>
            <w:tcBorders/>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58" w:type="dxa"/>
            <w:gridSpan w:val="13"/>
            <w:tcBorders/>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58" w:type="dxa"/>
            <w:gridSpan w:val="13"/>
            <w:tcBorders/>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
        <w:gridCol w:w="289"/>
        <w:gridCol w:w="265"/>
        <w:gridCol w:w="181"/>
        <w:gridCol w:w="616"/>
        <w:gridCol w:w="109"/>
        <w:gridCol w:w="109"/>
        <w:gridCol w:w="109"/>
        <w:gridCol w:w="109"/>
        <w:gridCol w:w="181"/>
        <w:gridCol w:w="466"/>
        <w:gridCol w:w="109"/>
        <w:gridCol w:w="109"/>
        <w:gridCol w:w="109"/>
        <w:gridCol w:w="109"/>
        <w:gridCol w:w="181"/>
        <w:gridCol w:w="406"/>
        <w:gridCol w:w="109"/>
        <w:gridCol w:w="109"/>
        <w:gridCol w:w="109"/>
        <w:gridCol w:w="109"/>
        <w:gridCol w:w="185"/>
        <w:gridCol w:w="554"/>
        <w:gridCol w:w="111"/>
        <w:gridCol w:w="109"/>
        <w:gridCol w:w="109"/>
        <w:gridCol w:w="109"/>
        <w:gridCol w:w="213"/>
        <w:gridCol w:w="725"/>
        <w:gridCol w:w="128"/>
        <w:gridCol w:w="109"/>
        <w:gridCol w:w="109"/>
        <w:gridCol w:w="109"/>
        <w:gridCol w:w="187"/>
        <w:gridCol w:w="420"/>
        <w:gridCol w:w="114"/>
        <w:gridCol w:w="109"/>
        <w:gridCol w:w="109"/>
        <w:gridCol w:w="109"/>
        <w:gridCol w:w="230"/>
        <w:gridCol w:w="516"/>
        <w:gridCol w:w="140"/>
        <w:gridCol w:w="109"/>
        <w:gridCol w:w="109"/>
        <w:gridCol w:w="109"/>
        <w:gridCol w:w="181"/>
        <w:gridCol w:w="616"/>
        <w:gridCol w:w="158"/>
      </w:tblGrid>
      <w:tr>
        <w:trPr/>
        <w:tc>
          <w:tcPr>
            <w:tcW w:w="5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139,579 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139,732 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and legal matters in GMNA and restructuring and other strategic actions in GMNA and GMI.</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(c)Equity income (loss) related to Ultium Cells Holdings LLC is presented in Automotive and other cost of sales as this entity has historically been integral to the operations of our business by providing battery cells for our EVs. Refer to Note 7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Basis of Presentation </w:t>
      </w:r>
      <w:r>
        <w:rPr>
          <w:rFonts w:ascii="Times New Roman;serif" w:hAnsi="Times New Roman;serif"/>
          <w:b w:val="false"/>
          <w:color w:val="000000"/>
          <w:sz w:val="20"/>
        </w:rPr>
        <w:t>This Management's Discussion and Analysis of Financial Condition and Results of Operations (MD&amp;A) should be read in conjunction with the accompanying condensed consolidated financial statements and the notes thereto, and the audited consolidated financial statements and notes thereto included in our 2025 Form 10-K.</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MD&amp;A are not guarantees of future performance and may involve risks and uncertainties that could cause actual results to differ materially from those projected. Refer to the "Forward-Looking Statements" section of this MD&amp;A, Part I, Item 1A. Risk Factors of our 2025 Form 10-K, and Part II, Item 1A. Risk Factors of our Quarterly Report on Form 10-Q for the three months ended March 31, 2026 for a discussion of these risks and uncertainties. Except for per share amounts or as otherwise specified, dollar amounts presented within tables are stated in millions. Certain columns and rows may not add due to rounding.</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Overview </w:t>
      </w:r>
      <w:r>
        <w:rPr>
          <w:rFonts w:ascii="Times New Roman;serif" w:hAnsi="Times New Roman;serif"/>
          <w:b w:val="false"/>
          <w:color w:val="000000"/>
          <w:sz w:val="20"/>
        </w:rPr>
        <w:t>Our vision for the future is a world with zero crashes, zero emissions, and zero congestion. We will adapt to customer preferences while executing our growth-focused strategy to invest in internal combustion engine (ICE) vehicles, EVs, hybrids, personal AV technology, software-enabled services, and other new business opportunities. To support strong margins and cash flow, we continue to prioritize profitable ICE vehicles, such as trucks and SUVs. We plan to execute our strategy with a steadfast commitment to good corporate citizenship through more sustainable operations and a leading health and safety culture.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financial performance continues to be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to improve profitability and are aligning our EV capacity and manufacturing footprint. We are monitoring industry pricing pressures, changing interest rates, inflation, warranty claims, consumer demand trends, geopolitical tensions, and changes to the regulatory environment, including with respect to tariffs, fuel economy standards, and emissions regulations.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2025, the U.S. and other governments implemented new tariffs relevant to GM and its suppliers, including tariffs on vehicles and parts imported into the U.S. The tariff environment remains highly dynamic, and the specific tariffs applicable to goods imported by GM and its suppliers continue to evolve, including with respect to imports under the U.S.-Mexico-Canada Agreement and other trade agreements. We have acted with urgency and discipline to maintain strong positioning within the industry. On February 20, 2026, the U.S. Supreme Court concluded that the International Emergency Economic Powers Act (IEEPA) did not authorize the imposition of tariffs. In the nine months ended September 30, 2026, we recorded net favorable adjustments of $0.7 billion primarily due to previously charged IEEPA tariffs that are refundable. Based on the current tariff environment, we estimate that impacts to EBIT-adjusted could range from $2.5 billion to $3.5 billion for the year ending December 31, 2026 and may be subject to change if new tariffs or changes to existing tariffs arise. Refer to Part I, Item 1A. Risk Factors in our 2025 Form 10-K for a full discussion of the risks associated with the global tariff environment.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charges of $7.9 billion in GMNA related to our EV strategic realignment. In the three months ended September 30, 2026, we recorded an insignificant amount of additional net charges. For the nine months ended September 30, 2026, net charges were $3.6 billion, primarily related to $2.5 billion for ongoing commercial negotiations with our supply base and joint venture partners, $1.3 billion of losses on supply agreements, and $0.5 billion associated with compliance-related assets, net of $0.7 billion of recoveries under a cost sharing arrangement. Of these charges, $2.7 billion will have a cash impact when paid. We incurred cash outflows of $4.2 billion related to these charges in the nine months ended September 30, 2026. We expect additional charges in the year ending December 31, 2026, and while circumstances may change in the future, we believe we have substantially completed the recognition of material cash charges related to our EV strategic realignment. The charge associated with our compliance-related assets in April 2026 was due to the repeal of the EPA's endangerment finding. At September 30, 2026, the carrying amount of our compliance-related assets was $0.7 billion. Refer to the "Non-GAAP Measures" section of this MD&amp;A for additional information. Our strategic realignment of EV capacity does not impact today's retail portfolio of Chevrolet, GMC, and Cadillac EVs currently in production, and we expect these models to remain available to consumers.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face continuing market, operating, and regulatory challenges in several countries across the globe due to, among other factors, competitive pressures, our product portfolio offerings, heightened emissions standards, labor disruptions, foreign exchange volatility, evolving trade policy, automotive industry supply chains, and political uncertainty. Refer to Part I, Item 1A. Risk Factors in our 2025 Form 10-K and Part II, Item 1A. Risk Factors of our Quarterly Report on Form 10-Q for the three months ended March 31, 2026 for a discussion of these challenges.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 the year ending December 31, 2026, we expect Net income attributable to stockholders of between $8.9 billion and $9.5 billion, EBIT-adjusted of between $14.5 billion and $15.5 billion, EPS-diluted of between $9.72 and $10.72, and EPS-diluted-adjusted of between $12.75 and $13.75. Refer to the "Non-GAAP Measures" section of this MD&amp;A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expected Net income attributable to stockholders to expected EBIT-adjusted (dollars in billions):</w:t>
      </w:r>
    </w:p>
    <w:tbl>
      <w:tblPr>
        <w:tblW w:w="6052" w:type="dxa"/>
        <w:jc w:val="left"/>
        <w:tblInd w:w="0" w:type="dxa"/>
        <w:tblLayout w:type="fixed"/>
        <w:tblCellMar>
          <w:top w:w="28" w:type="dxa"/>
          <w:left w:w="28" w:type="dxa"/>
          <w:bottom w:w="28" w:type="dxa"/>
          <w:right w:w="28" w:type="dxa"/>
        </w:tblCellMar>
      </w:tblPr>
      <w:tblGrid>
        <w:gridCol w:w="1207"/>
        <w:gridCol w:w="1060"/>
        <w:gridCol w:w="1063"/>
        <w:gridCol w:w="109"/>
        <w:gridCol w:w="109"/>
        <w:gridCol w:w="732"/>
        <w:gridCol w:w="732"/>
        <w:gridCol w:w="1040"/>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 Ending December 31, 2026</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$ 8.9-9.5</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$ 14.5-15.5</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Net income (loss) attributable to stockholders to EBIT-adjusted within this MD&amp;A for adjustment details. These expected financial results do not include the potential impact of future adjustments related to special items.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The following table reconciles expected EPS-diluted to expected EPS-diluted-adjusted</w:t>
      </w:r>
      <w:r>
        <w:rPr>
          <w:rFonts w:ascii="Times New Roman;serif" w:hAnsi="Times New Roman;serif"/>
          <w:b w:val="false"/>
          <w:color w:val="000000"/>
          <w:sz w:val="18"/>
        </w:rPr>
        <w:t>:</w:t>
      </w:r>
    </w:p>
    <w:tbl>
      <w:tblPr>
        <w:tblW w:w="5706" w:type="dxa"/>
        <w:jc w:val="left"/>
        <w:tblInd w:w="0" w:type="dxa"/>
        <w:tblLayout w:type="fixed"/>
        <w:tblCellMar>
          <w:top w:w="28" w:type="dxa"/>
          <w:left w:w="28" w:type="dxa"/>
          <w:bottom w:w="28" w:type="dxa"/>
          <w:right w:w="28" w:type="dxa"/>
        </w:tblCellMar>
      </w:tblPr>
      <w:tblGrid>
        <w:gridCol w:w="1080"/>
        <w:gridCol w:w="950"/>
        <w:gridCol w:w="954"/>
        <w:gridCol w:w="109"/>
        <w:gridCol w:w="109"/>
        <w:gridCol w:w="732"/>
        <w:gridCol w:w="732"/>
        <w:gridCol w:w="1040"/>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 Ending December 31, 2026</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$ 9.72-10.72</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EPS-diluted-adjusted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$ 12.75-13.75</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diluted earnings per common share to EPS-diluted-adjusted within this MD&amp;A for adjustment details. These expected financial results do not include the potential impact of future adjustments related to special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GMNA </w:t>
      </w:r>
      <w:r>
        <w:rPr>
          <w:rFonts w:ascii="Times New Roman;serif" w:hAnsi="Times New Roman;serif"/>
          <w:b w:val="false"/>
          <w:color w:val="000000"/>
          <w:sz w:val="20"/>
        </w:rPr>
        <w:t>Industry sales in North America were 15.3 million units in the nine months ended September 30, 2026, representing a decrease of 1.7% compared to the corresponding period in 2025. U.S. industry sales were 12.3 million units in the nine months ended September 30, 2026, representing a decrease of 2.3% compared to the corresponding period in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total vehicle sales in the U.S., our largest market in North America, were 2.0 million units for a market share of 16.4% in the nine months ended September 30, 2026, representing a decrease of 0.7 percentage points compared to the corresponding period in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achieved solid margins in the nine months ended September 30, 2026 driven by the strength of our product portfolio and ongoing cost discipline. However, the evolving tariff and policy landscape could continue to have a material impact on our profitability going forward. We remain focused on improving our EV profitability while maintaining our focus on cost. In addition, our outlook is dependent on continued supply chain availability, the resiliency of the U.S. economy, and overall economic conditions, including the imposition of tariffs, less available offsets and deductions, or other trade restrictions by the U.S. or its trading partners. Looking ahead, our top priority is earning 8.0-10.0% annualized EBIT-adjusted margins in GMNA on a sustained basis.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GMI </w:t>
      </w:r>
      <w:r>
        <w:rPr>
          <w:rFonts w:ascii="Times New Roman;serif" w:hAnsi="Times New Roman;serif"/>
          <w:b w:val="false"/>
          <w:color w:val="000000"/>
          <w:sz w:val="20"/>
        </w:rPr>
        <w:t>Industry sales in China were 15.8 million units in the nine months ended September 30, 2026, representing a decrease of 18.2% compared to the corresponding period in 2025. Our total vehicle sales in China were 1.1 million units for a market share of 6.7% in the nine months ended September 30, 2026, representing a decrease of 0.3 percentage points compared to the corresponding period in 2025. Our Automotive China JVs generated equity income of $0.3 billion in the nine months ended September 30, 2026, which includes income of $0.1 billion related to the previously announced restructuring of SAIC General Motors Corp., Ltd (SGM). We continue to focus on enhancing the competitiveness of our products in the Chinese market and executing restructuring plans. Additional restructuring charges may be incurred going forward. In the three months ended September 30, 2026, we entered into a joint venture agreement extending the term of SGM, subject to certain conditions, through May 15, 2047, with no change to GM's ownership interest or equity-method accounting, resulting in an insignificant financial impact.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Outside of China, industry sales were 21.2 million units in the nine months ended September 30, 2026, representing an increase of 4.8% compared to the corresponding period in 2025. Our total vehicle sales outside of China were 0.7 million units for a market share of 3.1% in the nine months ended September 30, 2026, representing a decrease of 0.1 percentage points compared to the corresponding period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Vehicle Sales </w:t>
      </w:r>
      <w:r>
        <w:rPr>
          <w:rFonts w:ascii="Times New Roman;serif" w:hAnsi="Times New Roman;serif"/>
          <w:b w:val="false"/>
          <w:color w:val="000000"/>
          <w:sz w:val="20"/>
        </w:rPr>
        <w:t>The principal factors that determine consumer vehicle preferences in the markets in which we operate include overall vehicle design, price, quality, available options, safety, reliability, fuel economy or range, and functionality. Market leadership in individual countries in which we compete varies widely.</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2026, 27.6% of our wholesale vehicle sales volume was generated outside the U.S. The following table summarizes wholesale vehicle sales by our Automotive operations (vehicles in thousands):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308"/>
        <w:gridCol w:w="308"/>
        <w:gridCol w:w="125"/>
        <w:gridCol w:w="125"/>
        <w:gridCol w:w="125"/>
        <w:gridCol w:w="125"/>
        <w:gridCol w:w="307"/>
        <w:gridCol w:w="309"/>
        <w:gridCol w:w="312"/>
        <w:gridCol w:w="109"/>
        <w:gridCol w:w="109"/>
        <w:gridCol w:w="109"/>
        <w:gridCol w:w="233"/>
        <w:gridCol w:w="233"/>
        <w:gridCol w:w="125"/>
        <w:gridCol w:w="125"/>
        <w:gridCol w:w="125"/>
        <w:gridCol w:w="125"/>
        <w:gridCol w:w="307"/>
        <w:gridCol w:w="309"/>
        <w:gridCol w:w="312"/>
        <w:gridCol w:w="109"/>
        <w:gridCol w:w="109"/>
        <w:gridCol w:w="109"/>
        <w:gridCol w:w="109"/>
        <w:gridCol w:w="109"/>
        <w:gridCol w:w="109"/>
        <w:gridCol w:w="109"/>
        <w:gridCol w:w="308"/>
        <w:gridCol w:w="308"/>
        <w:gridCol w:w="125"/>
        <w:gridCol w:w="125"/>
        <w:gridCol w:w="125"/>
        <w:gridCol w:w="125"/>
        <w:gridCol w:w="307"/>
        <w:gridCol w:w="309"/>
        <w:gridCol w:w="312"/>
        <w:gridCol w:w="109"/>
        <w:gridCol w:w="109"/>
        <w:gridCol w:w="109"/>
        <w:gridCol w:w="308"/>
        <w:gridCol w:w="308"/>
        <w:gridCol w:w="124"/>
        <w:gridCol w:w="124"/>
        <w:gridCol w:w="124"/>
        <w:gridCol w:w="124"/>
        <w:gridCol w:w="307"/>
        <w:gridCol w:w="309"/>
        <w:gridCol w:w="37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GMNA</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GMI</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industry and GM total vehicle sales and our related competitive position by geographic region (vehicles in thousands):</w:t>
      </w:r>
    </w:p>
    <w:tbl>
      <w:tblPr>
        <w:tblW w:w="14244" w:type="dxa"/>
        <w:jc w:val="left"/>
        <w:tblInd w:w="0" w:type="dxa"/>
        <w:tblLayout w:type="fixed"/>
        <w:tblCellMar>
          <w:top w:w="28" w:type="dxa"/>
          <w:left w:w="28" w:type="dxa"/>
          <w:bottom w:w="28" w:type="dxa"/>
          <w:right w:w="28" w:type="dxa"/>
        </w:tblCellMar>
      </w:tblPr>
      <w:tblGrid>
        <w:gridCol w:w="547"/>
        <w:gridCol w:w="244"/>
        <w:gridCol w:w="245"/>
        <w:gridCol w:w="323"/>
        <w:gridCol w:w="323"/>
        <w:gridCol w:w="241"/>
        <w:gridCol w:w="109"/>
        <w:gridCol w:w="109"/>
        <w:gridCol w:w="109"/>
        <w:gridCol w:w="277"/>
        <w:gridCol w:w="279"/>
        <w:gridCol w:w="131"/>
        <w:gridCol w:w="109"/>
        <w:gridCol w:w="109"/>
        <w:gridCol w:w="109"/>
        <w:gridCol w:w="254"/>
        <w:gridCol w:w="212"/>
        <w:gridCol w:w="350"/>
        <w:gridCol w:w="109"/>
        <w:gridCol w:w="109"/>
        <w:gridCol w:w="109"/>
        <w:gridCol w:w="323"/>
        <w:gridCol w:w="323"/>
        <w:gridCol w:w="241"/>
        <w:gridCol w:w="109"/>
        <w:gridCol w:w="109"/>
        <w:gridCol w:w="109"/>
        <w:gridCol w:w="277"/>
        <w:gridCol w:w="279"/>
        <w:gridCol w:w="131"/>
        <w:gridCol w:w="109"/>
        <w:gridCol w:w="109"/>
        <w:gridCol w:w="109"/>
        <w:gridCol w:w="254"/>
        <w:gridCol w:w="212"/>
        <w:gridCol w:w="350"/>
        <w:gridCol w:w="109"/>
        <w:gridCol w:w="109"/>
        <w:gridCol w:w="109"/>
        <w:gridCol w:w="323"/>
        <w:gridCol w:w="323"/>
        <w:gridCol w:w="241"/>
        <w:gridCol w:w="109"/>
        <w:gridCol w:w="109"/>
        <w:gridCol w:w="109"/>
        <w:gridCol w:w="278"/>
        <w:gridCol w:w="278"/>
        <w:gridCol w:w="131"/>
        <w:gridCol w:w="109"/>
        <w:gridCol w:w="109"/>
        <w:gridCol w:w="109"/>
        <w:gridCol w:w="254"/>
        <w:gridCol w:w="212"/>
        <w:gridCol w:w="350"/>
        <w:gridCol w:w="109"/>
        <w:gridCol w:w="109"/>
        <w:gridCol w:w="109"/>
        <w:gridCol w:w="323"/>
        <w:gridCol w:w="323"/>
        <w:gridCol w:w="241"/>
        <w:gridCol w:w="109"/>
        <w:gridCol w:w="109"/>
        <w:gridCol w:w="109"/>
        <w:gridCol w:w="556"/>
        <w:gridCol w:w="131"/>
        <w:gridCol w:w="327"/>
        <w:gridCol w:w="466"/>
        <w:gridCol w:w="401"/>
      </w:tblGrid>
      <w:tr>
        <w:trPr/>
        <w:tc>
          <w:tcPr>
            <w:tcW w:w="5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North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Asia/Pacific, Middle East, and Africa</w:t>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China(a)</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Asia/Pacific, Middle East, and Africa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South America</w:t>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South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 GM markets</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Europe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Worldwide(b)</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65,309 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w:t>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Trucks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Crossovers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United States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China(a)</w:t>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SGMS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SGMW</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sales by the Automotive China JVs: SAIC General Motors Sales Co., Ltd. (SGMS) and SAIC GM Wuling Automobile Co., Ltd. (SGMW).</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(b)Cuba, Iran, North Korea, and Sudan have been subject to broad economic sanctions. Accordingly, these countries are excluded from industry sales data and corresponding calculation of market share.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tbl>
      <w:tblPr>
        <w:tblW w:w="10205" w:type="dxa"/>
        <w:jc w:val="left"/>
        <w:tblInd w:w="0" w:type="dxa"/>
        <w:tblLayout w:type="fixed"/>
        <w:tblCellMar>
          <w:top w:w="28" w:type="dxa"/>
          <w:left w:w="28" w:type="dxa"/>
          <w:bottom w:w="28" w:type="dxa"/>
          <w:right w:w="28" w:type="dxa"/>
        </w:tblCellMar>
      </w:tblPr>
      <w:tblGrid>
        <w:gridCol w:w="1237"/>
        <w:gridCol w:w="1056"/>
        <w:gridCol w:w="1050"/>
        <w:gridCol w:w="338"/>
        <w:gridCol w:w="313"/>
        <w:gridCol w:w="780"/>
        <w:gridCol w:w="128"/>
        <w:gridCol w:w="128"/>
        <w:gridCol w:w="128"/>
        <w:gridCol w:w="338"/>
        <w:gridCol w:w="313"/>
        <w:gridCol w:w="780"/>
        <w:gridCol w:w="109"/>
        <w:gridCol w:w="109"/>
        <w:gridCol w:w="109"/>
        <w:gridCol w:w="338"/>
        <w:gridCol w:w="313"/>
        <w:gridCol w:w="780"/>
        <w:gridCol w:w="122"/>
        <w:gridCol w:w="122"/>
        <w:gridCol w:w="122"/>
        <w:gridCol w:w="323"/>
        <w:gridCol w:w="295"/>
        <w:gridCol w:w="874"/>
      </w:tblGrid>
      <w:tr>
        <w:trPr/>
        <w:tc>
          <w:tcPr>
            <w:tcW w:w="1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GMNA</w:t>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GMI</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fleet sales</w:t>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Fleet sales as a percentage of total vehicle sales</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 Financial </w:t>
      </w:r>
      <w:r>
        <w:rPr>
          <w:rFonts w:ascii="Times New Roman;serif" w:hAnsi="Times New Roman;serif"/>
          <w:b w:val="false"/>
          <w:color w:val="000000"/>
          <w:sz w:val="20"/>
        </w:rPr>
        <w:t>We believe that offering a comprehensive suite of financing products will generate incremental sales of our vehicles, drive incremental GM Financial earnings, and help support our sales throughout various economic cycles. GM Financial's penetration of our retail sales in the U.S. was 35% in the nine months ended September 30, 2026 and 34% in the corresponding period in 2025. Penetration levels vary depending on incentive financing programs available and competing third-party financing products in the market. GM Financial's prime loan originations as a percentage of total loan originations in North America were 76% in the nine months ended September 30, 2026 and 80% in the corresponding period in 2025. In the nine months ended September 30, 2026, GM Financial's revenue consisted of leased vehicle income of 46%, retail finance charge income of 41%, and commercial finance charge income of 6%.</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leasing program is exposed to residual values, which are heavily dependent on used vehicle prices. The following table summarizes the estimated residual value based on GM Financial's most recent estimates and the number of units included in GM Financial Equipment on operating leases, net by vehicle type (units in thousands):</w:t>
      </w:r>
    </w:p>
    <w:tbl>
      <w:tblPr>
        <w:tblW w:w="8574" w:type="dxa"/>
        <w:jc w:val="left"/>
        <w:tblInd w:w="0" w:type="dxa"/>
        <w:tblLayout w:type="fixed"/>
        <w:tblCellMar>
          <w:top w:w="28" w:type="dxa"/>
          <w:left w:w="28" w:type="dxa"/>
          <w:bottom w:w="28" w:type="dxa"/>
          <w:right w:w="28" w:type="dxa"/>
        </w:tblCellMar>
      </w:tblPr>
      <w:tblGrid>
        <w:gridCol w:w="364"/>
        <w:gridCol w:w="320"/>
        <w:gridCol w:w="322"/>
        <w:gridCol w:w="240"/>
        <w:gridCol w:w="821"/>
        <w:gridCol w:w="124"/>
        <w:gridCol w:w="109"/>
        <w:gridCol w:w="109"/>
        <w:gridCol w:w="109"/>
        <w:gridCol w:w="233"/>
        <w:gridCol w:w="233"/>
        <w:gridCol w:w="161"/>
        <w:gridCol w:w="109"/>
        <w:gridCol w:w="109"/>
        <w:gridCol w:w="109"/>
        <w:gridCol w:w="307"/>
        <w:gridCol w:w="309"/>
        <w:gridCol w:w="508"/>
        <w:gridCol w:w="109"/>
        <w:gridCol w:w="109"/>
        <w:gridCol w:w="109"/>
        <w:gridCol w:w="240"/>
        <w:gridCol w:w="821"/>
        <w:gridCol w:w="124"/>
        <w:gridCol w:w="109"/>
        <w:gridCol w:w="109"/>
        <w:gridCol w:w="109"/>
        <w:gridCol w:w="233"/>
        <w:gridCol w:w="233"/>
        <w:gridCol w:w="161"/>
        <w:gridCol w:w="109"/>
        <w:gridCol w:w="109"/>
        <w:gridCol w:w="109"/>
        <w:gridCol w:w="307"/>
        <w:gridCol w:w="309"/>
        <w:gridCol w:w="56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Residual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Residual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Crossovers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Trucks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SUVs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residual values of leased EVs represented 23.5% and 21.1% of total residual values.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Consolidated Results </w:t>
      </w:r>
      <w:r>
        <w:rPr>
          <w:rFonts w:ascii="Times New Roman;serif" w:hAnsi="Times New Roman;serif"/>
          <w:b w:val="false"/>
          <w:color w:val="000000"/>
          <w:sz w:val="20"/>
        </w:rPr>
        <w:t>We review changes in our results of operations under five categories: Volume, Mix, Price, Cost, and 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expenses; and (3) non-vehicle related activity. Other primarily includes foreign exchange and non-vehicle related automotive revenues as well as equity income or loss from our nonconsolidated affiliates. Refer to the regional sections of this MD&amp;A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Total Net Sales and Revenue</w:t>
      </w:r>
    </w:p>
    <w:tbl>
      <w:tblPr>
        <w:tblW w:w="10355" w:type="dxa"/>
        <w:jc w:val="left"/>
        <w:tblInd w:w="0" w:type="dxa"/>
        <w:tblLayout w:type="fixed"/>
        <w:tblCellMar>
          <w:top w:w="28" w:type="dxa"/>
          <w:left w:w="28" w:type="dxa"/>
          <w:bottom w:w="28" w:type="dxa"/>
          <w:right w:w="28" w:type="dxa"/>
        </w:tblCellMar>
      </w:tblPr>
      <w:tblGrid>
        <w:gridCol w:w="448"/>
        <w:gridCol w:w="394"/>
        <w:gridCol w:w="404"/>
        <w:gridCol w:w="196"/>
        <w:gridCol w:w="646"/>
        <w:gridCol w:w="109"/>
        <w:gridCol w:w="109"/>
        <w:gridCol w:w="109"/>
        <w:gridCol w:w="109"/>
        <w:gridCol w:w="196"/>
        <w:gridCol w:w="646"/>
        <w:gridCol w:w="109"/>
        <w:gridCol w:w="109"/>
        <w:gridCol w:w="109"/>
        <w:gridCol w:w="109"/>
        <w:gridCol w:w="205"/>
        <w:gridCol w:w="581"/>
        <w:gridCol w:w="115"/>
        <w:gridCol w:w="109"/>
        <w:gridCol w:w="109"/>
        <w:gridCol w:w="109"/>
        <w:gridCol w:w="233"/>
        <w:gridCol w:w="233"/>
        <w:gridCol w:w="256"/>
        <w:gridCol w:w="109"/>
        <w:gridCol w:w="109"/>
        <w:gridCol w:w="109"/>
        <w:gridCol w:w="109"/>
        <w:gridCol w:w="109"/>
        <w:gridCol w:w="109"/>
        <w:gridCol w:w="196"/>
        <w:gridCol w:w="37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tbl>
      <w:tblPr>
        <w:tblW w:w="10520" w:type="dxa"/>
        <w:jc w:val="left"/>
        <w:tblInd w:w="0" w:type="dxa"/>
        <w:tblLayout w:type="fixed"/>
        <w:tblCellMar>
          <w:top w:w="28" w:type="dxa"/>
          <w:left w:w="28" w:type="dxa"/>
          <w:bottom w:w="28" w:type="dxa"/>
          <w:right w:w="28" w:type="dxa"/>
        </w:tblCellMar>
      </w:tblPr>
      <w:tblGrid>
        <w:gridCol w:w="448"/>
        <w:gridCol w:w="394"/>
        <w:gridCol w:w="404"/>
        <w:gridCol w:w="196"/>
        <w:gridCol w:w="736"/>
        <w:gridCol w:w="109"/>
        <w:gridCol w:w="109"/>
        <w:gridCol w:w="109"/>
        <w:gridCol w:w="109"/>
        <w:gridCol w:w="196"/>
        <w:gridCol w:w="736"/>
        <w:gridCol w:w="109"/>
        <w:gridCol w:w="109"/>
        <w:gridCol w:w="109"/>
        <w:gridCol w:w="109"/>
        <w:gridCol w:w="205"/>
        <w:gridCol w:w="581"/>
        <w:gridCol w:w="115"/>
        <w:gridCol w:w="109"/>
        <w:gridCol w:w="109"/>
        <w:gridCol w:w="109"/>
        <w:gridCol w:w="233"/>
        <w:gridCol w:w="233"/>
        <w:gridCol w:w="256"/>
        <w:gridCol w:w="109"/>
        <w:gridCol w:w="109"/>
        <w:gridCol w:w="109"/>
        <w:gridCol w:w="109"/>
        <w:gridCol w:w="109"/>
        <w:gridCol w:w="109"/>
        <w:gridCol w:w="196"/>
        <w:gridCol w:w="391"/>
        <w:gridCol w:w="109"/>
        <w:gridCol w:w="109"/>
        <w:gridCol w:w="109"/>
        <w:gridCol w:w="109"/>
        <w:gridCol w:w="196"/>
        <w:gridCol w:w="406"/>
        <w:gridCol w:w="109"/>
        <w:gridCol w:w="109"/>
        <w:gridCol w:w="109"/>
        <w:gridCol w:w="109"/>
        <w:gridCol w:w="196"/>
        <w:gridCol w:w="376"/>
        <w:gridCol w:w="109"/>
        <w:gridCol w:w="109"/>
        <w:gridCol w:w="109"/>
        <w:gridCol w:w="109"/>
        <w:gridCol w:w="196"/>
        <w:gridCol w:w="406"/>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Cruise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Eliminations/reclassifications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and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Refer to the regional sections of this MD&amp;A for additional information on Volume, Mix, Price, and Other.</w:t>
      </w:r>
    </w:p>
    <w:p>
      <w:pPr>
        <w:pStyle w:val="TextBody"/>
        <w:bidi w:val="0"/>
        <w:spacing w:before="0" w:after="0"/>
        <w:ind w:left="0" w:right="0" w:firstLine="180"/>
        <w:jc w:val="both"/>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Automotive and Other Cost of Sales</w:t>
      </w:r>
    </w:p>
    <w:tbl>
      <w:tblPr>
        <w:tblW w:w="10205" w:type="dxa"/>
        <w:jc w:val="left"/>
        <w:tblInd w:w="0" w:type="dxa"/>
        <w:tblLayout w:type="fixed"/>
        <w:tblCellMar>
          <w:top w:w="28" w:type="dxa"/>
          <w:left w:w="28" w:type="dxa"/>
          <w:bottom w:w="28" w:type="dxa"/>
          <w:right w:w="28" w:type="dxa"/>
        </w:tblCellMar>
      </w:tblPr>
      <w:tblGrid>
        <w:gridCol w:w="388"/>
        <w:gridCol w:w="342"/>
        <w:gridCol w:w="348"/>
        <w:gridCol w:w="200"/>
        <w:gridCol w:w="661"/>
        <w:gridCol w:w="111"/>
        <w:gridCol w:w="109"/>
        <w:gridCol w:w="109"/>
        <w:gridCol w:w="109"/>
        <w:gridCol w:w="200"/>
        <w:gridCol w:w="661"/>
        <w:gridCol w:w="111"/>
        <w:gridCol w:w="109"/>
        <w:gridCol w:w="109"/>
        <w:gridCol w:w="109"/>
        <w:gridCol w:w="214"/>
        <w:gridCol w:w="607"/>
        <w:gridCol w:w="120"/>
        <w:gridCol w:w="109"/>
        <w:gridCol w:w="109"/>
        <w:gridCol w:w="109"/>
        <w:gridCol w:w="241"/>
        <w:gridCol w:w="242"/>
        <w:gridCol w:w="256"/>
        <w:gridCol w:w="109"/>
        <w:gridCol w:w="109"/>
        <w:gridCol w:w="109"/>
        <w:gridCol w:w="109"/>
        <w:gridCol w:w="109"/>
        <w:gridCol w:w="109"/>
        <w:gridCol w:w="196"/>
        <w:gridCol w:w="393"/>
        <w:gridCol w:w="109"/>
        <w:gridCol w:w="109"/>
        <w:gridCol w:w="109"/>
        <w:gridCol w:w="109"/>
        <w:gridCol w:w="196"/>
        <w:gridCol w:w="406"/>
        <w:gridCol w:w="109"/>
        <w:gridCol w:w="109"/>
        <w:gridCol w:w="109"/>
        <w:gridCol w:w="109"/>
        <w:gridCol w:w="196"/>
        <w:gridCol w:w="407"/>
        <w:gridCol w:w="109"/>
        <w:gridCol w:w="109"/>
        <w:gridCol w:w="109"/>
        <w:gridCol w:w="109"/>
        <w:gridCol w:w="196"/>
        <w:gridCol w:w="407"/>
        <w:gridCol w:w="163"/>
      </w:tblGrid>
      <w:tr>
        <w:trPr/>
        <w:tc>
          <w:tcPr>
            <w:tcW w:w="3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078"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353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automotive and other cost of sales</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07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tbl>
      <w:tblPr>
        <w:tblW w:w="10216" w:type="dxa"/>
        <w:jc w:val="left"/>
        <w:tblInd w:w="0" w:type="dxa"/>
        <w:tblLayout w:type="fixed"/>
        <w:tblCellMar>
          <w:top w:w="28" w:type="dxa"/>
          <w:left w:w="28" w:type="dxa"/>
          <w:bottom w:w="28" w:type="dxa"/>
          <w:right w:w="28" w:type="dxa"/>
        </w:tblCellMar>
      </w:tblPr>
      <w:tblGrid>
        <w:gridCol w:w="362"/>
        <w:gridCol w:w="319"/>
        <w:gridCol w:w="325"/>
        <w:gridCol w:w="196"/>
        <w:gridCol w:w="736"/>
        <w:gridCol w:w="109"/>
        <w:gridCol w:w="109"/>
        <w:gridCol w:w="109"/>
        <w:gridCol w:w="109"/>
        <w:gridCol w:w="196"/>
        <w:gridCol w:w="736"/>
        <w:gridCol w:w="109"/>
        <w:gridCol w:w="109"/>
        <w:gridCol w:w="109"/>
        <w:gridCol w:w="109"/>
        <w:gridCol w:w="243"/>
        <w:gridCol w:w="522"/>
        <w:gridCol w:w="136"/>
        <w:gridCol w:w="109"/>
        <w:gridCol w:w="109"/>
        <w:gridCol w:w="109"/>
        <w:gridCol w:w="240"/>
        <w:gridCol w:w="241"/>
        <w:gridCol w:w="256"/>
        <w:gridCol w:w="109"/>
        <w:gridCol w:w="109"/>
        <w:gridCol w:w="109"/>
        <w:gridCol w:w="109"/>
        <w:gridCol w:w="109"/>
        <w:gridCol w:w="109"/>
        <w:gridCol w:w="196"/>
        <w:gridCol w:w="391"/>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54"/>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Cruise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automotive and other cost of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2026, decreased Cost was primarily due to: (1) the reduction of charges related to the EV strategic realignment of $1.5 billion; (2) decreased warranty-related costs of $0.9 billion; (3) decreased net realizable value inventory adjustments, primarily EV-related, of $0.5 billion; and (4) the absence of charges related to the former OnStar Smart Driver program of $0.3 billion; partially offset by (5) decreased Ultium Cells Holdings LLC equity earnings of $0.2 billion; (6) increased manufacturing costs of $0.2 billion; (7) increased engineering costs of $0.2 billion; and (8) increased costs of $0.4 billion due to other individually insignificant items.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increased Cost was primarily due to: (1) charges of $1.5 billion due to the EV strategic realignment; (2) decreased Ultium Cells Holdings LLC equity earnings of $1.0 billion; (3) increased material and freight costs of $0.5 billion, including $0.5 billion net favorable tariffs; (4) increased other employee related costs of $0.3 billion; (5) increased engineering costs of $0.3 billion; (6) increased parts and accessories costs of $0.3 billion; and (7) increased manufacturing costs of $0.2 billion; partially offset by (8) decreased warranty-related costs of $1.7 billion; (9) decreased net realizable value inventory adjustments, primarily EV-related, of $1.3 billion; (10) decreased emissions costs of $0.5 billion; and (11) the absence of charges related to the former OnStar Smart Driver program of $0.3 billion. In the nine months ended September 30, 2026, unfavorable Other was primarily due to net foreign currency changes in the Mexican peso.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Refer to the regional sections of this MD&amp;A for additional information on Volume and Mix.</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Automotive and Other Selling, General, and Administrative Expense</w:t>
      </w:r>
    </w:p>
    <w:tbl>
      <w:tblPr>
        <w:tblW w:w="10632" w:type="dxa"/>
        <w:jc w:val="left"/>
        <w:tblInd w:w="0" w:type="dxa"/>
        <w:tblLayout w:type="fixed"/>
        <w:tblCellMar>
          <w:top w:w="28" w:type="dxa"/>
          <w:left w:w="28" w:type="dxa"/>
          <w:bottom w:w="28" w:type="dxa"/>
          <w:right w:w="28" w:type="dxa"/>
        </w:tblCellMar>
      </w:tblPr>
      <w:tblGrid>
        <w:gridCol w:w="468"/>
        <w:gridCol w:w="411"/>
        <w:gridCol w:w="412"/>
        <w:gridCol w:w="211"/>
        <w:gridCol w:w="616"/>
        <w:gridCol w:w="109"/>
        <w:gridCol w:w="109"/>
        <w:gridCol w:w="109"/>
        <w:gridCol w:w="109"/>
        <w:gridCol w:w="211"/>
        <w:gridCol w:w="616"/>
        <w:gridCol w:w="109"/>
        <w:gridCol w:w="109"/>
        <w:gridCol w:w="109"/>
        <w:gridCol w:w="109"/>
        <w:gridCol w:w="237"/>
        <w:gridCol w:w="406"/>
        <w:gridCol w:w="123"/>
        <w:gridCol w:w="109"/>
        <w:gridCol w:w="109"/>
        <w:gridCol w:w="109"/>
        <w:gridCol w:w="203"/>
        <w:gridCol w:w="203"/>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10"/>
        <w:gridCol w:w="211"/>
        <w:gridCol w:w="316"/>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other selling, general, and administrative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Interest Income and Other Non-operating Income, net</w:t>
      </w:r>
    </w:p>
    <w:tbl>
      <w:tblPr>
        <w:tblW w:w="10427" w:type="dxa"/>
        <w:jc w:val="left"/>
        <w:tblInd w:w="0" w:type="dxa"/>
        <w:tblLayout w:type="fixed"/>
        <w:tblCellMar>
          <w:top w:w="28" w:type="dxa"/>
          <w:left w:w="28" w:type="dxa"/>
          <w:bottom w:w="28" w:type="dxa"/>
          <w:right w:w="28" w:type="dxa"/>
        </w:tblCellMar>
      </w:tblPr>
      <w:tblGrid>
        <w:gridCol w:w="462"/>
        <w:gridCol w:w="406"/>
        <w:gridCol w:w="408"/>
        <w:gridCol w:w="211"/>
        <w:gridCol w:w="466"/>
        <w:gridCol w:w="109"/>
        <w:gridCol w:w="109"/>
        <w:gridCol w:w="109"/>
        <w:gridCol w:w="109"/>
        <w:gridCol w:w="211"/>
        <w:gridCol w:w="466"/>
        <w:gridCol w:w="109"/>
        <w:gridCol w:w="109"/>
        <w:gridCol w:w="109"/>
        <w:gridCol w:w="109"/>
        <w:gridCol w:w="211"/>
        <w:gridCol w:w="481"/>
        <w:gridCol w:w="109"/>
        <w:gridCol w:w="109"/>
        <w:gridCol w:w="109"/>
        <w:gridCol w:w="109"/>
        <w:gridCol w:w="263"/>
        <w:gridCol w:w="263"/>
        <w:gridCol w:w="271"/>
        <w:gridCol w:w="109"/>
        <w:gridCol w:w="109"/>
        <w:gridCol w:w="109"/>
        <w:gridCol w:w="109"/>
        <w:gridCol w:w="109"/>
        <w:gridCol w:w="109"/>
        <w:gridCol w:w="211"/>
        <w:gridCol w:w="466"/>
        <w:gridCol w:w="109"/>
        <w:gridCol w:w="109"/>
        <w:gridCol w:w="109"/>
        <w:gridCol w:w="109"/>
        <w:gridCol w:w="211"/>
        <w:gridCol w:w="616"/>
        <w:gridCol w:w="109"/>
        <w:gridCol w:w="109"/>
        <w:gridCol w:w="109"/>
        <w:gridCol w:w="109"/>
        <w:gridCol w:w="211"/>
        <w:gridCol w:w="481"/>
        <w:gridCol w:w="109"/>
        <w:gridCol w:w="109"/>
        <w:gridCol w:w="109"/>
        <w:gridCol w:w="109"/>
        <w:gridCol w:w="263"/>
        <w:gridCol w:w="263"/>
        <w:gridCol w:w="316"/>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non-operating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2026, Interest income and other non-operating income, net decreased primarily due to $0.2 billion in losses related to revaluation of investments.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Interest income and other non-operating income, net decreased primarily due to: (1) $0.2 billion in losses related to revaluation of investments; and (2) $0.1 billion decrease in interest income.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331"/>
        <w:gridCol w:w="290"/>
        <w:gridCol w:w="292"/>
        <w:gridCol w:w="228"/>
        <w:gridCol w:w="505"/>
        <w:gridCol w:w="118"/>
        <w:gridCol w:w="109"/>
        <w:gridCol w:w="109"/>
        <w:gridCol w:w="109"/>
        <w:gridCol w:w="228"/>
        <w:gridCol w:w="505"/>
        <w:gridCol w:w="118"/>
        <w:gridCol w:w="109"/>
        <w:gridCol w:w="109"/>
        <w:gridCol w:w="109"/>
        <w:gridCol w:w="237"/>
        <w:gridCol w:w="558"/>
        <w:gridCol w:w="122"/>
        <w:gridCol w:w="109"/>
        <w:gridCol w:w="109"/>
        <w:gridCol w:w="109"/>
        <w:gridCol w:w="150"/>
        <w:gridCol w:w="150"/>
        <w:gridCol w:w="151"/>
        <w:gridCol w:w="109"/>
        <w:gridCol w:w="109"/>
        <w:gridCol w:w="109"/>
        <w:gridCol w:w="109"/>
        <w:gridCol w:w="109"/>
        <w:gridCol w:w="109"/>
        <w:gridCol w:w="221"/>
        <w:gridCol w:w="646"/>
        <w:gridCol w:w="114"/>
        <w:gridCol w:w="109"/>
        <w:gridCol w:w="109"/>
        <w:gridCol w:w="109"/>
        <w:gridCol w:w="221"/>
        <w:gridCol w:w="646"/>
        <w:gridCol w:w="114"/>
        <w:gridCol w:w="109"/>
        <w:gridCol w:w="109"/>
        <w:gridCol w:w="109"/>
        <w:gridCol w:w="267"/>
        <w:gridCol w:w="482"/>
        <w:gridCol w:w="139"/>
        <w:gridCol w:w="109"/>
        <w:gridCol w:w="109"/>
        <w:gridCol w:w="109"/>
        <w:gridCol w:w="214"/>
        <w:gridCol w:w="215"/>
        <w:gridCol w:w="32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w:t>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 xml:space="preserve">In the three and nine months ended September 30, 2026, Income tax expense increased </w:t>
      </w:r>
      <w:r>
        <w:rPr>
          <w:rFonts w:ascii="Times New Roman;serif" w:hAnsi="Times New Roman;serif"/>
          <w:b w:val="false"/>
          <w:color w:val="000000"/>
          <w:sz w:val="20"/>
          <w:shd w:fill="FFFFFF" w:val="clear"/>
        </w:rPr>
        <w:t xml:space="preserve">primarily due to </w:t>
      </w:r>
      <w:r>
        <w:rPr>
          <w:rFonts w:ascii="Times New Roman;serif" w:hAnsi="Times New Roman;serif"/>
          <w:b w:val="false"/>
          <w:color w:val="000000"/>
          <w:sz w:val="20"/>
        </w:rPr>
        <w:t>higher pre-tax income.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our effective tax rate was 14.3% and 16.1% and our effective tax rate-adjusted (ETR-adjusted) was 19.9% and 18.9%. We expect our ETR-adjusted to be between 20% and 21% for the year ending December 31, 2026. Refer to the "Non-GAAP Measures" section of this MD&amp;A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GM North America </w:t>
      </w:r>
    </w:p>
    <w:tbl>
      <w:tblPr>
        <w:tblW w:w="12240" w:type="dxa"/>
        <w:jc w:val="left"/>
        <w:tblInd w:w="0" w:type="dxa"/>
        <w:tblLayout w:type="fixed"/>
        <w:tblCellMar>
          <w:top w:w="28" w:type="dxa"/>
          <w:left w:w="28" w:type="dxa"/>
          <w:bottom w:w="28" w:type="dxa"/>
          <w:right w:w="28" w:type="dxa"/>
        </w:tblCellMar>
      </w:tblPr>
      <w:tblGrid>
        <w:gridCol w:w="817"/>
        <w:gridCol w:w="244"/>
        <w:gridCol w:w="245"/>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271"/>
        <w:gridCol w:w="109"/>
        <w:gridCol w:w="109"/>
        <w:gridCol w:w="109"/>
        <w:gridCol w:w="109"/>
        <w:gridCol w:w="109"/>
        <w:gridCol w:w="109"/>
        <w:gridCol w:w="211"/>
        <w:gridCol w:w="406"/>
        <w:gridCol w:w="109"/>
        <w:gridCol w:w="109"/>
        <w:gridCol w:w="109"/>
        <w:gridCol w:w="109"/>
        <w:gridCol w:w="211"/>
        <w:gridCol w:w="421"/>
        <w:gridCol w:w="109"/>
        <w:gridCol w:w="109"/>
        <w:gridCol w:w="109"/>
        <w:gridCol w:w="109"/>
        <w:gridCol w:w="211"/>
        <w:gridCol w:w="421"/>
        <w:gridCol w:w="109"/>
        <w:gridCol w:w="109"/>
        <w:gridCol w:w="109"/>
        <w:gridCol w:w="109"/>
        <w:gridCol w:w="211"/>
        <w:gridCol w:w="406"/>
        <w:gridCol w:w="109"/>
        <w:gridCol w:w="109"/>
        <w:gridCol w:w="109"/>
        <w:gridCol w:w="109"/>
        <w:gridCol w:w="211"/>
        <w:gridCol w:w="40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12450" w:type="dxa"/>
        <w:jc w:val="left"/>
        <w:tblInd w:w="0" w:type="dxa"/>
        <w:tblLayout w:type="fixed"/>
        <w:tblCellMar>
          <w:top w:w="28" w:type="dxa"/>
          <w:left w:w="28" w:type="dxa"/>
          <w:bottom w:w="28" w:type="dxa"/>
          <w:right w:w="28" w:type="dxa"/>
        </w:tblCellMar>
      </w:tblPr>
      <w:tblGrid>
        <w:gridCol w:w="841"/>
        <w:gridCol w:w="277"/>
        <w:gridCol w:w="188"/>
        <w:gridCol w:w="211"/>
        <w:gridCol w:w="826"/>
        <w:gridCol w:w="271"/>
        <w:gridCol w:w="109"/>
        <w:gridCol w:w="109"/>
        <w:gridCol w:w="109"/>
        <w:gridCol w:w="211"/>
        <w:gridCol w:w="826"/>
        <w:gridCol w:w="271"/>
        <w:gridCol w:w="109"/>
        <w:gridCol w:w="109"/>
        <w:gridCol w:w="109"/>
        <w:gridCol w:w="211"/>
        <w:gridCol w:w="616"/>
        <w:gridCol w:w="271"/>
        <w:gridCol w:w="109"/>
        <w:gridCol w:w="109"/>
        <w:gridCol w:w="109"/>
        <w:gridCol w:w="255"/>
        <w:gridCol w:w="256"/>
        <w:gridCol w:w="271"/>
        <w:gridCol w:w="109"/>
        <w:gridCol w:w="109"/>
        <w:gridCol w:w="109"/>
        <w:gridCol w:w="109"/>
        <w:gridCol w:w="109"/>
        <w:gridCol w:w="109"/>
        <w:gridCol w:w="211"/>
        <w:gridCol w:w="421"/>
        <w:gridCol w:w="109"/>
        <w:gridCol w:w="109"/>
        <w:gridCol w:w="109"/>
        <w:gridCol w:w="109"/>
        <w:gridCol w:w="211"/>
        <w:gridCol w:w="42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GMNA Total Net Sales and Revenue </w:t>
      </w:r>
      <w:r>
        <w:rPr>
          <w:rFonts w:ascii="Times New Roman;serif" w:hAnsi="Times New Roman;serif"/>
          <w:b w:val="false"/>
          <w:color w:val="000000"/>
          <w:sz w:val="20"/>
        </w:rPr>
        <w:t>In the three months ended September 30, 2026, Total net sales and revenue increased primarily due to: (1) increased net wholesale volumes due to increased sales of full-size pickup trucks and crossover vehicles, partially offset by decreased sales of mid-size pickup trucks and vans; partially offset by (2) unfavorable Mix associated with increased sales of crossover vehicles, partially offset by increased sales of full-size pickup trucks and decreased sales of mid-size pickup trucks and vans; and (3) unfavorable Price due to timing of model year introductions.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Total net sales and revenue increased primarily due to: (1) favorable Other due to net foreign currency changes and increased revenue of software-enabled services and subscriptions; and (2) favorable Price as a result of lean dealer inventory levels due to strong demand for our products; partially offset by (3) unfavorable Mix associated with decreased sales of crossover vehicles and full-size SUVs; and (4) decreased net wholesale volumes due to decreased sales of mid-size pickup trucks and vans, crossover vehicles, and full-size SUVs, partially offset by increased sales of full-size pickup trucks and cars.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GMNA EBIT-Adjusted</w:t>
      </w:r>
      <w:r>
        <w:rPr>
          <w:color w:val="000000"/>
        </w:rPr>
        <w:t xml:space="preserve"> </w:t>
      </w:r>
      <w:r>
        <w:rPr>
          <w:rFonts w:ascii="Times New Roman;serif" w:hAnsi="Times New Roman;serif"/>
          <w:b w:val="false"/>
          <w:color w:val="000000"/>
          <w:sz w:val="20"/>
        </w:rPr>
        <w:t>In the three months ended September 30, 2026, EBIT-adjusted increased primarily due to: (1) favorable Cost primarily due to decreased warranty-related costs of $0.9 billion and decreased net realizable value inventory adjustments, primarily EV-related, of $0.4 billion, partially offset by decreased Ultium Cells Holdings LLC equity earnings of $0.2 billion, increased engineering costs of $0.2 billion, increased employee-related costs of $0.1 billion, and increased manufacturing costs of $0.1 billion; (2) increased net wholesale volumes; and (3) favorable Mix associated with increased sales of full-size pickup trucks, partially offset by increased sales of crossover vehicles; partially offset by (4) unfavorable Price.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EBIT-adjusted increased primarily due to: (1) favorable Cost primarily due to decreased warranty-related costs of $1.7 billion, decreased net realizable value inventory adjustments, primarily EV-related, of $1.3 billion, and decreased emissions costs of $0.5 billion, partially offset by decreased Ultium Cells Holdings LLC equity earnings of $1.0 billion, increased engineering costs of $0.5 billion, increased employee-related costs of $0.3 billion, increased parts and accessories costs of $0.3 billion, and increased material and freight costs of $0.2 billion, including $0.5 billion net favorable tariffs; (2) favorable Mix associated with increased sales of full-size pickup trucks and decreased sales of crossover vehicles; (3) favorable Price; and (4) favorable Other due to investment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GM International</w:t>
      </w:r>
    </w:p>
    <w:tbl>
      <w:tblPr>
        <w:tblW w:w="11910"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11"/>
        <w:gridCol w:w="616"/>
        <w:gridCol w:w="271"/>
        <w:gridCol w:w="109"/>
        <w:gridCol w:w="109"/>
        <w:gridCol w:w="109"/>
        <w:gridCol w:w="211"/>
        <w:gridCol w:w="481"/>
        <w:gridCol w:w="271"/>
        <w:gridCol w:w="109"/>
        <w:gridCol w:w="109"/>
        <w:gridCol w:w="109"/>
        <w:gridCol w:w="262"/>
        <w:gridCol w:w="264"/>
        <w:gridCol w:w="271"/>
        <w:gridCol w:w="109"/>
        <w:gridCol w:w="109"/>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income (loss) — Automotive China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EBIT-adjusted — excluding Equity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tbl>
      <w:tblPr>
        <w:tblW w:w="12150" w:type="dxa"/>
        <w:jc w:val="left"/>
        <w:tblInd w:w="0" w:type="dxa"/>
        <w:tblLayout w:type="fixed"/>
        <w:tblCellMar>
          <w:top w:w="28" w:type="dxa"/>
          <w:left w:w="28" w:type="dxa"/>
          <w:bottom w:w="28" w:type="dxa"/>
          <w:right w:w="28" w:type="dxa"/>
        </w:tblCellMar>
      </w:tblPr>
      <w:tblGrid>
        <w:gridCol w:w="817"/>
        <w:gridCol w:w="244"/>
        <w:gridCol w:w="245"/>
        <w:gridCol w:w="211"/>
        <w:gridCol w:w="721"/>
        <w:gridCol w:w="271"/>
        <w:gridCol w:w="109"/>
        <w:gridCol w:w="109"/>
        <w:gridCol w:w="109"/>
        <w:gridCol w:w="211"/>
        <w:gridCol w:w="616"/>
        <w:gridCol w:w="271"/>
        <w:gridCol w:w="109"/>
        <w:gridCol w:w="109"/>
        <w:gridCol w:w="109"/>
        <w:gridCol w:w="211"/>
        <w:gridCol w:w="616"/>
        <w:gridCol w:w="271"/>
        <w:gridCol w:w="109"/>
        <w:gridCol w:w="109"/>
        <w:gridCol w:w="109"/>
        <w:gridCol w:w="262"/>
        <w:gridCol w:w="264"/>
        <w:gridCol w:w="271"/>
        <w:gridCol w:w="109"/>
        <w:gridCol w:w="109"/>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income (loss) — Automotive China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EBIT-adjusted — excluding Equity income (loss)(a)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(a)Excludes adjustments related to Automotive China JVs restructuring recorded in GMI.</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vehicle sales of our Automotive China JVs are not recorded in Total net sales and revenue. The results of our joint ventures are recorded in Equity income (loss), which is included in EBIT-adjusted above.</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GMI Total Net Sales and Revenue </w:t>
      </w:r>
      <w:r>
        <w:rPr>
          <w:rFonts w:ascii="Times New Roman;serif" w:hAnsi="Times New Roman;serif"/>
          <w:b w:val="false"/>
          <w:color w:val="000000"/>
          <w:sz w:val="20"/>
        </w:rPr>
        <w:t>In the three months ended September 30, 2026, Total net sales a</w:t>
      </w:r>
      <w:r>
        <w:rPr>
          <w:rFonts w:ascii="Times New Roman;serif" w:hAnsi="Times New Roman;serif"/>
          <w:b w:val="false"/>
          <w:color w:val="000000"/>
          <w:sz w:val="20"/>
          <w:shd w:fill="FFFFFF" w:val="clear"/>
        </w:rPr>
        <w:t>nd revenu</w:t>
      </w:r>
      <w:r>
        <w:rPr>
          <w:rFonts w:ascii="Times New Roman;serif" w:hAnsi="Times New Roman;serif"/>
          <w:b w:val="false"/>
          <w:color w:val="000000"/>
          <w:sz w:val="20"/>
        </w:rPr>
        <w:t>e increased primarily due to: (1) increased net wholesale volumes in South America primarily due to increased sales of crossovers and passenger cars in Brazil; and (2) favorable Other primarily due to net foreign currency changes in the Brazilian real and Colombian peso, partially offset by changes in the Argentine peso; partially offset by (3) unfavorable Mix in Brazil and the Middle East.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In the nine months ended September 30, 2026, Total net sales and revenue</w:t>
      </w:r>
      <w:r>
        <w:rPr>
          <w:color w:val="000000"/>
          <w:shd w:fill="FFFFFF" w:val="clear"/>
        </w:rPr>
        <w:t xml:space="preserve"> </w:t>
      </w:r>
      <w:r>
        <w:rPr>
          <w:rFonts w:ascii="Times New Roman;serif" w:hAnsi="Times New Roman;serif"/>
          <w:b w:val="false"/>
          <w:color w:val="000000"/>
          <w:sz w:val="20"/>
        </w:rPr>
        <w:t>increased p</w:t>
      </w:r>
      <w:r>
        <w:rPr>
          <w:rFonts w:ascii="Times New Roman;serif" w:hAnsi="Times New Roman;serif"/>
          <w:b w:val="false"/>
          <w:color w:val="000000"/>
          <w:sz w:val="20"/>
          <w:shd w:fill="FFFFFF" w:val="clear"/>
        </w:rPr>
        <w:t>rimar</w:t>
      </w:r>
      <w:r>
        <w:rPr>
          <w:rFonts w:ascii="Times New Roman;serif" w:hAnsi="Times New Roman;serif"/>
          <w:b w:val="false"/>
          <w:color w:val="000000"/>
          <w:sz w:val="20"/>
        </w:rPr>
        <w:t>ily due t</w:t>
      </w:r>
      <w:r>
        <w:rPr>
          <w:rFonts w:ascii="Times New Roman;serif" w:hAnsi="Times New Roman;serif"/>
          <w:b w:val="false"/>
          <w:color w:val="000000"/>
          <w:sz w:val="20"/>
          <w:shd w:fill="FFFFFF" w:val="clear"/>
        </w:rPr>
        <w:t>o:</w:t>
      </w:r>
      <w:r>
        <w:rPr>
          <w:color w:val="000000"/>
        </w:rPr>
        <w:t xml:space="preserve"> </w:t>
      </w:r>
      <w:r>
        <w:rPr>
          <w:rFonts w:ascii="Times New Roman;serif" w:hAnsi="Times New Roman;serif"/>
          <w:b w:val="false"/>
          <w:color w:val="000000"/>
          <w:sz w:val="20"/>
        </w:rPr>
        <w:t>(1) increased net wholesale volumes in South America primarily due to increased sales of crossovers and passenger cars in Brazil, partially offset by decreased volumes in the Middle East; (2) favorable Price across multiple vehicle lines in Argentina and the Middle East; and (3) favorable Other primarily due to net foreign currency changes in the Brazilian real and Colombian peso, partially offset by changes in the Argentine peso; partially offset by (4) unfavorable Mix in Brazil and the Middle East.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GMI EBIT-Adjusted </w:t>
      </w:r>
      <w:r>
        <w:rPr>
          <w:rFonts w:ascii="Times New Roman;serif" w:hAnsi="Times New Roman;serif"/>
          <w:b w:val="false"/>
          <w:color w:val="000000"/>
          <w:sz w:val="20"/>
        </w:rPr>
        <w:t>In the three months ended September 30, 2026, EBIT-adjusted decreased primarily due to: (1) unfavorable Cost primarily due to increased material, logistics, and manufacturing costs; partially offset by (2) increased net wholesale volumes.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In the nine months ended September 30, 2026, EBIT-adjusted decreased primarily due to: (1) unfavorable Cost primarily due to increased material, logistics, and manufacturing costs; and (2) unfavorable Mix; partially offset by (3) increased net wholesale volumes; (4) favorable Price; and (5) favorable Other primarily due to net foreign currency changes in the Brazilian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real, Colombian peso, and the Australian dollar, partially offset by net foreign currency changes in the Argentine peso and losses related to the revaluation of investments.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operational and financial data for the Automotive China JVs (vehicles in thousands):</w:t>
      </w:r>
    </w:p>
    <w:tbl>
      <w:tblPr>
        <w:tblW w:w="10205" w:type="dxa"/>
        <w:jc w:val="left"/>
        <w:tblInd w:w="0" w:type="dxa"/>
        <w:tblLayout w:type="fixed"/>
        <w:tblCellMar>
          <w:top w:w="28" w:type="dxa"/>
          <w:left w:w="28" w:type="dxa"/>
          <w:bottom w:w="28" w:type="dxa"/>
          <w:right w:w="28" w:type="dxa"/>
        </w:tblCellMar>
      </w:tblPr>
      <w:tblGrid>
        <w:gridCol w:w="1459"/>
        <w:gridCol w:w="1286"/>
        <w:gridCol w:w="1290"/>
        <w:gridCol w:w="284"/>
        <w:gridCol w:w="830"/>
        <w:gridCol w:w="146"/>
        <w:gridCol w:w="109"/>
        <w:gridCol w:w="109"/>
        <w:gridCol w:w="109"/>
        <w:gridCol w:w="284"/>
        <w:gridCol w:w="830"/>
        <w:gridCol w:w="146"/>
        <w:gridCol w:w="109"/>
        <w:gridCol w:w="109"/>
        <w:gridCol w:w="109"/>
        <w:gridCol w:w="265"/>
        <w:gridCol w:w="907"/>
        <w:gridCol w:w="136"/>
        <w:gridCol w:w="109"/>
        <w:gridCol w:w="109"/>
        <w:gridCol w:w="109"/>
        <w:gridCol w:w="263"/>
        <w:gridCol w:w="899"/>
        <w:gridCol w:w="199"/>
      </w:tblGrid>
      <w:tr>
        <w:trPr/>
        <w:tc>
          <w:tcPr>
            <w:tcW w:w="145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 including vehicles exported to markets outside of China</w:t>
            </w:r>
          </w:p>
        </w:tc>
        <w:tc>
          <w:tcPr>
            <w:tcW w:w="11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GM Financial</w:t>
      </w:r>
    </w:p>
    <w:tbl>
      <w:tblPr>
        <w:tblW w:w="12029" w:type="dxa"/>
        <w:jc w:val="left"/>
        <w:tblInd w:w="0" w:type="dxa"/>
        <w:tblLayout w:type="fixed"/>
        <w:tblCellMar>
          <w:top w:w="28" w:type="dxa"/>
          <w:left w:w="28" w:type="dxa"/>
          <w:bottom w:w="28" w:type="dxa"/>
          <w:right w:w="28" w:type="dxa"/>
        </w:tblCellMar>
      </w:tblPr>
      <w:tblGrid>
        <w:gridCol w:w="757"/>
        <w:gridCol w:w="244"/>
        <w:gridCol w:w="245"/>
        <w:gridCol w:w="211"/>
        <w:gridCol w:w="616"/>
        <w:gridCol w:w="271"/>
        <w:gridCol w:w="109"/>
        <w:gridCol w:w="109"/>
        <w:gridCol w:w="109"/>
        <w:gridCol w:w="211"/>
        <w:gridCol w:w="616"/>
        <w:gridCol w:w="271"/>
        <w:gridCol w:w="109"/>
        <w:gridCol w:w="109"/>
        <w:gridCol w:w="109"/>
        <w:gridCol w:w="211"/>
        <w:gridCol w:w="481"/>
        <w:gridCol w:w="271"/>
        <w:gridCol w:w="109"/>
        <w:gridCol w:w="109"/>
        <w:gridCol w:w="109"/>
        <w:gridCol w:w="261"/>
        <w:gridCol w:w="265"/>
        <w:gridCol w:w="271"/>
        <w:gridCol w:w="109"/>
        <w:gridCol w:w="109"/>
        <w:gridCol w:w="109"/>
        <w:gridCol w:w="109"/>
        <w:gridCol w:w="109"/>
        <w:gridCol w:w="109"/>
        <w:gridCol w:w="211"/>
        <w:gridCol w:w="721"/>
        <w:gridCol w:w="271"/>
        <w:gridCol w:w="109"/>
        <w:gridCol w:w="109"/>
        <w:gridCol w:w="109"/>
        <w:gridCol w:w="211"/>
        <w:gridCol w:w="721"/>
        <w:gridCol w:w="271"/>
        <w:gridCol w:w="109"/>
        <w:gridCol w:w="109"/>
        <w:gridCol w:w="109"/>
        <w:gridCol w:w="211"/>
        <w:gridCol w:w="481"/>
        <w:gridCol w:w="271"/>
        <w:gridCol w:w="109"/>
        <w:gridCol w:w="109"/>
        <w:gridCol w:w="109"/>
        <w:gridCol w:w="263"/>
        <w:gridCol w:w="263"/>
        <w:gridCol w:w="316"/>
      </w:tblGrid>
      <w:tr>
        <w:trPr/>
        <w:tc>
          <w:tcPr>
            <w:tcW w:w="7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EBT-adjusted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debt outstanding (dollars in billions)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rate of interest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 Financial Revenue </w:t>
      </w:r>
      <w:r>
        <w:rPr>
          <w:rFonts w:ascii="Times New Roman;serif" w:hAnsi="Times New Roman;serif"/>
          <w:b w:val="false"/>
          <w:color w:val="000000"/>
          <w:sz w:val="20"/>
        </w:rPr>
        <w:t>In the three months ended September 30, 2026, total revenue decreased by an insignificant amount.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In the nine months ended September 30, 2026, total revenue increased primarily due to: (1) increased other income of $0.1 billion primarily due to growth in the insurance and vehicle protection businesses, partially offset by lower investment income resulting from a decrease in the average investment balance; and (2) increased leased vehicle income of $0.1 billion primarily due to an increase in the average balance of the leased vehicles portfolio; partially offset by (3) decreased finance charge income of $0.1 billion primarily due to a decrease in the average balance of the finance receivables portfolio.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 Financial EBT-Adjusted </w:t>
      </w:r>
      <w:r>
        <w:rPr>
          <w:rFonts w:ascii="Times New Roman;serif" w:hAnsi="Times New Roman;serif"/>
          <w:b w:val="false"/>
          <w:color w:val="000000"/>
          <w:sz w:val="20"/>
        </w:rPr>
        <w:t>In the three months ended September 30, 2026, EBT-adjusted decreased primarily due to: (1) increased operating expenses of $0.1 billion primarily due to growth in the insurance and vehicle protection businesses and related claims losses; (2) increased provision for loan losses of $0.1 billion primarily due to an increase in loan origination volume as well as the reversal of the allowance for loan losses on finance receivables reclassified to held-for-sale during the three months ended September 30, 2025; partially offset by (3) decreased interest expense of $0.1 billion primarily due to a decrease in the average debt outstanding and a lower effective rate of interest on GM Financial debt.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EBT-adjusted decreased primarily due to: (1) increased operating expenses of $0.3 billion primarily due to growth in the insurance and vehicle protection businesses and related claims losses; (2) increased leased vehicle expenses of $0.3 billion primarily due to increased depreciation expense on EVs; (3) decreased finance charge income of $0.1 billion primarily due to a decrease in the average balance of the finance receivables portfolio; and (4) increased provision for loan losses of $0.1 billion primarily due to the reversal of the allowance for loan losses on finance receivables reclassified to held-for-sale during the nine months ended September 30, 2025 as well as credit mix of loan originations; partially offset by (5) decreased interest expense of $0.2 billion primarily due to a decrease in the average debt outstanding and a lower effective rate of interest on GM Financial debt; (6) increased other income of $0.1 billion primarily due to growth in the insurance and vehicle protection businesses, partially offset by lower investment income resulting from a decrease in the average investment balance; and (7) increased leased vehicle income of $0.1 billion primarily due to an increase in the average balance of the leased vehicles portfolio.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Liquidity and Capital Resources </w:t>
      </w:r>
      <w:r>
        <w:rPr>
          <w:rFonts w:ascii="Times New Roman;serif" w:hAnsi="Times New Roman;serif"/>
          <w:b w:val="false"/>
          <w:color w:val="000000"/>
          <w:sz w:val="20"/>
        </w:rPr>
        <w:t xml:space="preserve">We believe our current levels of cash, cash equivalents, marketable debt securities, available borrowing capacity under our credit facilities, and other liquidity actions currently available to us are sufficient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known current material uses of cash include, among other possible demands: (1) capital spending and our investments in our battery cell manufacturing joint ventures of approximately $10.0 billion to $12.0 billion in 2026; (2) payments for engineering and product development activities, including the development of AV technology and software-enabled services; (3) payments associated with previously announced EV-related cash charges, warranty claims, vehicle recalls, and any other recall-related contingencies; (4) payments to service debt and other long-term obligations, including discretionary and mandatory contributions to our pension plans; (5) dividend payments on our common stock that are declared by our Board of Directors; and (6) payments to purchase shares of our common stock authorized by our Board of Directors.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stockholders. Our senior management evaluates our capital allocation program on an ongoing basis and recommends any modifications to the program to our Board of Directors not less than once annually.</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charges of $7.9 billion in GMNA related to our EV strategic realignment. These charges included non-cash impairment and other charges of $3.2 billion and cash related charges of $4.7 billion that will have a cash impact when paid. We incurred cash outflows of $0.4 billion related to these charges in the year ended December 31, 2025. In the nine months ended September 30, 2026, we recorded additional net charges of $3.6 billion of which $2.7 billion will have a cash impact when paid. We incurred cash outflows of $4.2 billion related to these charges in the nine months ended September 30, 2026. We expect to recognize additional charges in the year ending December 31, 2026, and while circumstances may change in the future, we believe we have substantially completed the recognition of material cash charges related to our EV strategic realignment.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have entered into offtake agreements and inventory banking arrangements that generally obligate us to purchase defined quantities of output and, if financed by the Inventory Banking Facility, repay the financed amounts. These arrangements could result in an adverse impact on our cash and excess inventory if our commitments exceed forecasted demand. We also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liquidity plans are subject to a number of risks and uncertainties, including those described in the "Forward-Looking Statements" section of this MD&amp;A, Part I, Item 1A. Risk Factors of our 2025 Form 10-K, and Part II, Item 1A. Risk Factors of our Quarterly Report on Form 10-Q for the three months ended March 31, 2026, some of which are outside of our control.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our Board of Directors increased the capacity under our existing share repurchase program by $6.0 billion to an aggregate of $6.3 billion, which we fully utilized in October 2026. In the nine months ended September 30, 2026, we repurchased 65 million outstanding shares of our common stock for $5.3 billion. In October 2026, our Board of Directors authorized $20.0 billion of additional repurchases under our existing share repurchase program, with no expiration date.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2026, we paid dividends of $0.5 billion to holders of our common stock. In January 2026, our Board of Directors approved an increase in the quarterly common stock dividend of $0.03 to $0.18 per share beginning with the quarterly dividend declared in January 2026.</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expenditures related to Cruise. The presentation of Automotive liquidity and GM Financial liquidity presented below includes the impact of cash transactions amongst the sectors that are ultimately eliminated in consolidation. The Cruise restructuring activities were substantially complete as of December 31, 2025. Net cash used in operating activities by Cruise was $0.8 billion in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Automotive Liquidity</w:t>
      </w:r>
      <w:r>
        <w:rPr>
          <w:color w:val="000000"/>
        </w:rPr>
        <w:t xml:space="preserve"> </w:t>
      </w:r>
      <w:r>
        <w:rPr>
          <w:rFonts w:ascii="Times New Roman;serif" w:hAnsi="Times New Roman;serif"/>
          <w:b w:val="false"/>
          <w:color w:val="000000"/>
          <w:sz w:val="20"/>
        </w:rPr>
        <w:t>Total available liquidity includes cash, cash equivalents, marketable debt securities, and funds available under credit facilities. The 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2025. Refer to Part II, Item 7. MD&amp;A of our 2025 Form 10-K.</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March 2026, we renewed our 364-day, $2.0 billion revolving credit facility allocated for the exclusive use of GM Financial, which now matures on March 22, 2027.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We use credit facilities as a mechanism to provide additional flexibility in managing our global liquidity. Our Automotive borrowing capacity under credit facilities totaled $14.4 billion at September 30, 2026 and December 31, 2025, which consisted primarily of two credit facilities. Total Automotive borrowing capacity under our credit facilities does not include our 364-day, $2.0 billion</w:t>
      </w:r>
      <w:r>
        <w:rPr>
          <w:color w:val="000000"/>
          <w:shd w:fill="FFFFFF" w:val="clear"/>
        </w:rPr>
        <w:t xml:space="preserve"> </w:t>
      </w:r>
      <w:r>
        <w:rPr>
          <w:rFonts w:ascii="Times New Roman;serif" w:hAnsi="Times New Roman;serif"/>
          <w:b w:val="false"/>
          <w:color w:val="000000"/>
          <w:sz w:val="20"/>
        </w:rPr>
        <w:t>facility allocated for exclusive use of GM Financial or our $4.5 billion Inventory Banking Facility. We did not have any borrowings against our primary facilities, but had letters of credit outstanding under our sub-facility of $0.4 billion and $0.5 billion at September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If available capacity permits, GM Financial continues to have access to our automotive credit facilities. GM Financial did not have borrowings outstanding against any of these facilities at September 30, 2026 and December 31, 2025. We had intercompany loans from GM Financial of $0.4 billion at September 30, 2026 and December 31, 2025, which primarily consisted of commercial loans to dealers we consolidate. We did not have intercompany loans to GM Financial at September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Several of our loan facilities, including our credit facilities, require compliance with certain financial and operational covenants as well as regular reporting to lenders. We have reviewed our covenants in effect as of September 30, 2026 and determined we are in compliance and expect to remain in compliance in the future.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Board of Directors declared and paid dividends of $1.2 billion on its common stock in the nine months ended September 30, 2026. Future dividends from GM Financial will depend on several factors including business and economic conditions, its financial condition, earnings, liquidity requirements, and leverage ratio.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Automotive available liquidity (dollars in billions):</w:t>
      </w:r>
    </w:p>
    <w:tbl>
      <w:tblPr>
        <w:tblW w:w="8905" w:type="dxa"/>
        <w:jc w:val="left"/>
        <w:tblInd w:w="0" w:type="dxa"/>
        <w:tblLayout w:type="fixed"/>
        <w:tblCellMar>
          <w:top w:w="28" w:type="dxa"/>
          <w:left w:w="28" w:type="dxa"/>
          <w:bottom w:w="28" w:type="dxa"/>
          <w:right w:w="28" w:type="dxa"/>
        </w:tblCellMar>
      </w:tblPr>
      <w:tblGrid>
        <w:gridCol w:w="1988"/>
        <w:gridCol w:w="1749"/>
        <w:gridCol w:w="1752"/>
        <w:gridCol w:w="392"/>
        <w:gridCol w:w="949"/>
        <w:gridCol w:w="204"/>
        <w:gridCol w:w="109"/>
        <w:gridCol w:w="109"/>
        <w:gridCol w:w="109"/>
        <w:gridCol w:w="372"/>
        <w:gridCol w:w="901"/>
        <w:gridCol w:w="271"/>
      </w:tblGrid>
      <w:tr>
        <w:trPr/>
        <w:tc>
          <w:tcPr>
            <w:tcW w:w="198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cash and cash equivalents</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debt securities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cash, cash equivalents, and marketable debt securities</w:t>
            </w:r>
          </w:p>
        </w:tc>
        <w:tc>
          <w:tcPr>
            <w:tcW w:w="13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credit facilities(a)</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Automotive available liquidity(b)</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(a)We had letters of credit outstanding under our sub-facility of $0.4 billion and $0.5 billion at September 30, 2026 and December 31, 2025.</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(b)Excludes equity securities with a fair value of $0.5 billion and $0.7 billion at September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changes in our Automotive available liquidity (dollars in billions): </w:t>
      </w:r>
    </w:p>
    <w:tbl>
      <w:tblPr>
        <w:tblW w:w="7019" w:type="dxa"/>
        <w:jc w:val="center"/>
        <w:tblInd w:w="0" w:type="dxa"/>
        <w:tblLayout w:type="fixed"/>
        <w:tblCellMar>
          <w:top w:w="28" w:type="dxa"/>
          <w:left w:w="28" w:type="dxa"/>
          <w:bottom w:w="28" w:type="dxa"/>
          <w:right w:w="28" w:type="dxa"/>
        </w:tblCellMar>
      </w:tblPr>
      <w:tblGrid>
        <w:gridCol w:w="1439"/>
        <w:gridCol w:w="1263"/>
        <w:gridCol w:w="1273"/>
        <w:gridCol w:w="731"/>
        <w:gridCol w:w="1775"/>
        <w:gridCol w:w="538"/>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and dividends paid</w:t>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purchase option</w:t>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available credit facilities</w:t>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w:t>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Automotive available liquidity</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Automotive Cash Flow (dollars in billions)</w:t>
      </w:r>
    </w:p>
    <w:tbl>
      <w:tblPr>
        <w:tblW w:w="9930" w:type="dxa"/>
        <w:jc w:val="center"/>
        <w:tblInd w:w="0" w:type="dxa"/>
        <w:tblLayout w:type="fixed"/>
        <w:tblCellMar>
          <w:top w:w="28" w:type="dxa"/>
          <w:left w:w="28" w:type="dxa"/>
          <w:bottom w:w="28" w:type="dxa"/>
          <w:right w:w="28" w:type="dxa"/>
        </w:tblCellMar>
      </w:tblPr>
      <w:tblGrid>
        <w:gridCol w:w="1962"/>
        <w:gridCol w:w="1722"/>
        <w:gridCol w:w="1731"/>
        <w:gridCol w:w="392"/>
        <w:gridCol w:w="949"/>
        <w:gridCol w:w="204"/>
        <w:gridCol w:w="109"/>
        <w:gridCol w:w="109"/>
        <w:gridCol w:w="109"/>
        <w:gridCol w:w="392"/>
        <w:gridCol w:w="949"/>
        <w:gridCol w:w="204"/>
        <w:gridCol w:w="109"/>
        <w:gridCol w:w="109"/>
        <w:gridCol w:w="109"/>
        <w:gridCol w:w="211"/>
        <w:gridCol w:w="406"/>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 charges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OPEB activities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and income taxes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Other(a)</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automotive cash provided by (used in) operating activities(b)</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$1.2 billion and $1.1 billion in dividends received from GM Financial in the nine months ended September 30, 2026 and 2025; $1.1 billion in dividends received from our nonconsolidated affiliates in the nine months ended September 30, 2025; and changes in other assets and liabilities in the nine months ended September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$2.0 billion and $(1.7) billion in the nine months ended September 30, 2026 and 2025, which are eliminated within the condensed consolidated statements of cash flows. Amounts eliminated primarily relate to purchases of, and collections on, wholesale finance receivables provided by GM Financial to our dealers and dividends issued by GM Financial to us.</w:t>
      </w:r>
    </w:p>
    <w:tbl>
      <w:tblPr>
        <w:tblW w:w="9913" w:type="dxa"/>
        <w:jc w:val="left"/>
        <w:tblInd w:w="0" w:type="dxa"/>
        <w:tblLayout w:type="fixed"/>
        <w:tblCellMar>
          <w:top w:w="28" w:type="dxa"/>
          <w:left w:w="28" w:type="dxa"/>
          <w:bottom w:w="28" w:type="dxa"/>
          <w:right w:w="28" w:type="dxa"/>
        </w:tblCellMar>
      </w:tblPr>
      <w:tblGrid>
        <w:gridCol w:w="1957"/>
        <w:gridCol w:w="1717"/>
        <w:gridCol w:w="1726"/>
        <w:gridCol w:w="440"/>
        <w:gridCol w:w="876"/>
        <w:gridCol w:w="228"/>
        <w:gridCol w:w="109"/>
        <w:gridCol w:w="109"/>
        <w:gridCol w:w="109"/>
        <w:gridCol w:w="440"/>
        <w:gridCol w:w="876"/>
        <w:gridCol w:w="228"/>
        <w:gridCol w:w="109"/>
        <w:gridCol w:w="109"/>
        <w:gridCol w:w="109"/>
        <w:gridCol w:w="211"/>
        <w:gridCol w:w="406"/>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liquidations of marketable securities, net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Other(a)</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automotive cash provided by (used in) investing activities(b)</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(a)Includes $0.2 billion and $0.1 billion loan repayments from Ultium Cells LLC in the nine months ended September 30, 2026 and 2025; and $(1.8) billion term loan to Ultium Cells LLC, $(1.0) billion of funding to wind down Cruise robotaxi operations,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$(0.6) billion of GM's investment in nonconsolidated affiliates</w:t>
      </w:r>
      <w:r>
        <w:rPr>
          <w:color w:val="000000"/>
          <w:shd w:fill="FFFFFF" w:val="clear"/>
        </w:rPr>
        <w:t xml:space="preserve"> </w:t>
      </w:r>
      <w:r>
        <w:rPr>
          <w:rFonts w:ascii="Times New Roman;serif" w:hAnsi="Times New Roman;serif"/>
          <w:b w:val="false"/>
          <w:color w:val="000000"/>
          <w:sz w:val="18"/>
          <w:shd w:fill="FFFFFF" w:val="clear"/>
        </w:rPr>
        <w:t xml:space="preserve">in the </w:t>
      </w:r>
      <w:r>
        <w:rPr>
          <w:rFonts w:ascii="Times New Roman;serif" w:hAnsi="Times New Roman;serif"/>
          <w:b w:val="false"/>
          <w:color w:val="000000"/>
          <w:sz w:val="18"/>
        </w:rPr>
        <w:t>nine months ended September 30, 2025.</w:t>
      </w:r>
    </w:p>
    <w:p>
      <w:pPr>
        <w:pStyle w:val="TextBody"/>
        <w:bidi w:val="0"/>
        <w:spacing w:lineRule="auto" w:line="288" w:before="0" w:after="0"/>
        <w:ind w:left="0" w:right="0" w:hanging="360"/>
        <w:jc w:val="both"/>
        <w:rPr/>
      </w:pPr>
      <w:r>
        <w:rPr>
          <w:rFonts w:ascii="Times New Roman;serif" w:hAnsi="Times New Roman;serif"/>
          <w:b w:val="false"/>
          <w:color w:val="000000"/>
          <w:sz w:val="18"/>
        </w:rPr>
        <w:t>(b)Includes $(1.0) billion of funding to wind down Cruise robotaxi operations</w:t>
      </w:r>
      <w:r>
        <w:rPr>
          <w:color w:val="000000"/>
          <w:shd w:fill="FFFFFF" w:val="clear"/>
        </w:rPr>
        <w:t xml:space="preserve"> </w:t>
      </w:r>
      <w:r>
        <w:rPr>
          <w:rFonts w:ascii="Times New Roman;serif" w:hAnsi="Times New Roman;serif"/>
          <w:b w:val="false"/>
          <w:color w:val="000000"/>
          <w:sz w:val="18"/>
          <w:shd w:fill="FFFFFF" w:val="clear"/>
        </w:rPr>
        <w:t xml:space="preserve">in the </w:t>
      </w:r>
      <w:r>
        <w:rPr>
          <w:rFonts w:ascii="Times New Roman;serif" w:hAnsi="Times New Roman;serif"/>
          <w:b w:val="false"/>
          <w:color w:val="000000"/>
          <w:sz w:val="18"/>
        </w:rPr>
        <w:t xml:space="preserve">nine months ended September 30, 2025, which is eliminated within the condensed consolidated statements of cash flows. </w:t>
      </w:r>
    </w:p>
    <w:tbl>
      <w:tblPr>
        <w:tblW w:w="9778" w:type="dxa"/>
        <w:jc w:val="left"/>
        <w:tblInd w:w="0" w:type="dxa"/>
        <w:tblLayout w:type="fixed"/>
        <w:tblCellMar>
          <w:top w:w="28" w:type="dxa"/>
          <w:left w:w="28" w:type="dxa"/>
          <w:bottom w:w="28" w:type="dxa"/>
          <w:right w:w="28" w:type="dxa"/>
        </w:tblCellMar>
      </w:tblPr>
      <w:tblGrid>
        <w:gridCol w:w="1877"/>
        <w:gridCol w:w="1654"/>
        <w:gridCol w:w="1659"/>
        <w:gridCol w:w="440"/>
        <w:gridCol w:w="876"/>
        <w:gridCol w:w="228"/>
        <w:gridCol w:w="109"/>
        <w:gridCol w:w="109"/>
        <w:gridCol w:w="109"/>
        <w:gridCol w:w="440"/>
        <w:gridCol w:w="876"/>
        <w:gridCol w:w="228"/>
        <w:gridCol w:w="109"/>
        <w:gridCol w:w="109"/>
        <w:gridCol w:w="109"/>
        <w:gridCol w:w="211"/>
        <w:gridCol w:w="481"/>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(payments) from short-term debt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senior unsecured notes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Other(a) </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automotive cash provided by (used in) financing activities</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(a)Includes $(5.3) billion and $(1.5) billion for payments to purchase common stock in the nine months ended September 30, 2026 and 2025; $(0.5) billion and $(0.4) billion for dividends paid in the nine months ended September 30, 2026 and 2025; $(0.4) billion for dividends to noncontrolling interests in the nine months ended September 30, 2026; and $(2.0) billion in payments related to the ASR in the nine months ended September 30, 2025</w:t>
      </w:r>
      <w:r>
        <w:rPr>
          <w:rFonts w:ascii="Times New Roman;serif" w:hAnsi="Times New Roman;serif"/>
          <w:b w:val="false"/>
          <w:color w:val="000000"/>
          <w:sz w:val="18"/>
          <w:shd w:fill="FFFFFF" w:val="clear"/>
        </w:rPr>
        <w:t>.</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val="false"/>
          <w:i/>
          <w:color w:val="000000"/>
          <w:sz w:val="20"/>
        </w:rPr>
        <w:t xml:space="preserve">Adjusted Automotive Free Cash Flow </w:t>
      </w:r>
      <w:r>
        <w:rPr>
          <w:rFonts w:ascii="Times New Roman;serif" w:hAnsi="Times New Roman;serif"/>
          <w:b w:val="false"/>
          <w:color w:val="000000"/>
          <w:sz w:val="20"/>
        </w:rPr>
        <w:t>We measure adjusted automotive free cash flow starting with automotive operating cash flow from operations. We subtract capital expenditures, add the imputed cash effects of third-party payments made on our behalf for inventory banking, and subtract the cash effects when the banked inventory is consumed. The result is then adjusted for management actions, which can include voluntary events such as discretionary contributions to employee benefit plans or nonrecurring specific events such as a closure of a facility that are considered special for EBIT-adjusted purposes. In the nine months ended September 30, 2026, net automotive cash provided by operating activities was $13.7 billion, capital expenditures were $5.8 billion, imputed inventory banking costs were insignificant, and adjustments for management actions were $4.2 billion. In the nine months ended September 30, 2025, net automotive cash provided by operating activities was $13.1 billion, capital expenditures were $6.1 billion, and adjustments for management actions were $0.8 billion.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i/>
          <w:color w:val="000000"/>
          <w:sz w:val="20"/>
        </w:rPr>
        <w:t xml:space="preserve">Status of Credit Ratings </w:t>
      </w:r>
      <w:r>
        <w:rPr>
          <w:rFonts w:ascii="Times New Roman;serif" w:hAnsi="Times New Roman;serif"/>
          <w:b w:val="false"/>
          <w:color w:val="000000"/>
          <w:sz w:val="20"/>
        </w:rPr>
        <w:t>We receive ratings from four independent credit rating agencies: DBRS Limited, Fitch Ratings, Moody's Investors Service, and Standard &amp; Poor's. All four credit rating agencies currently rate our corporate credit at investment grade. As of October 14, 2026, all credit ratings remained unchanged since December 31, 2025.</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Automotive Financing – GM Financial Liquidity </w:t>
      </w:r>
      <w:r>
        <w:rPr>
          <w:rFonts w:ascii="Times New Roman;serif" w:hAnsi="Times New Roman;serif"/>
          <w:b w:val="false"/>
          <w:color w:val="000000"/>
          <w:sz w:val="20"/>
        </w:rPr>
        <w:t>GM Financial's primary sources of cash are finance charge income, leasing income and proceeds from 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GM Financial's available liquidity (dollars in billions): </w:t>
      </w:r>
    </w:p>
    <w:tbl>
      <w:tblPr>
        <w:tblW w:w="9070" w:type="dxa"/>
        <w:jc w:val="left"/>
        <w:tblInd w:w="0" w:type="dxa"/>
        <w:tblLayout w:type="fixed"/>
        <w:tblCellMar>
          <w:top w:w="28" w:type="dxa"/>
          <w:left w:w="28" w:type="dxa"/>
          <w:bottom w:w="28" w:type="dxa"/>
          <w:right w:w="28" w:type="dxa"/>
        </w:tblCellMar>
      </w:tblPr>
      <w:tblGrid>
        <w:gridCol w:w="2046"/>
        <w:gridCol w:w="1801"/>
        <w:gridCol w:w="1807"/>
        <w:gridCol w:w="392"/>
        <w:gridCol w:w="949"/>
        <w:gridCol w:w="204"/>
        <w:gridCol w:w="109"/>
        <w:gridCol w:w="109"/>
        <w:gridCol w:w="109"/>
        <w:gridCol w:w="372"/>
        <w:gridCol w:w="901"/>
        <w:gridCol w:w="271"/>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debt securities</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capacity under secured credit facilities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Available under committed unsecured credit facilities </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revolving credit facility, exclusive to GM Financial</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GM Financial available liquidity</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available liquidity varies quarterly based on factors including near-term debt issuances and maturities, as well as changes in its earning assets. At September 30, 2026, GM Financial's available liquidity decreased from December 31, 2025, primarily due to increased utilization of its secured credit facilities and a decrease in cash and cash equivalents. GM Financial generally targets liquidity levels to support at least six months of GM Financial's expected net cash outflows, including new originations, without access to new debt financing transactions or other capital markets activity. At September 30, 2026, available liquidity exceeded GM Financial's liquidity targets.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GM Financial Cash Flow (dollars in billions)</w:t>
      </w:r>
    </w:p>
    <w:tbl>
      <w:tblPr>
        <w:tblW w:w="9027" w:type="dxa"/>
        <w:jc w:val="left"/>
        <w:tblInd w:w="0" w:type="dxa"/>
        <w:tblLayout w:type="fixed"/>
        <w:tblCellMar>
          <w:top w:w="28" w:type="dxa"/>
          <w:left w:w="28" w:type="dxa"/>
          <w:bottom w:w="28" w:type="dxa"/>
          <w:right w:w="28" w:type="dxa"/>
        </w:tblCellMar>
      </w:tblPr>
      <w:tblGrid>
        <w:gridCol w:w="1606"/>
        <w:gridCol w:w="1411"/>
        <w:gridCol w:w="1422"/>
        <w:gridCol w:w="440"/>
        <w:gridCol w:w="876"/>
        <w:gridCol w:w="228"/>
        <w:gridCol w:w="109"/>
        <w:gridCol w:w="109"/>
        <w:gridCol w:w="109"/>
        <w:gridCol w:w="440"/>
        <w:gridCol w:w="876"/>
        <w:gridCol w:w="228"/>
        <w:gridCol w:w="109"/>
        <w:gridCol w:w="109"/>
        <w:gridCol w:w="109"/>
        <w:gridCol w:w="211"/>
        <w:gridCol w:w="48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activities(a)</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activities(b)</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$(0.9) billion in the nine months ended September 30, 2026 primarily related to purchases of, and collections on, wholesale finance receivables and $3.1 billion in the nine months ended September 30, 2025 primarily related to purchases of, and collections on, wholesale finance receivables, and collection of intercompany loans to Cruise, which are eliminated within the condensed consolidated statements of cash flows.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(b)Includes $(1.2) billion and $(1.1) billion in the nine months ended September 30, 2026 and 2025 for dividends to GM, which are eliminated within the condensed consolidated statements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tbl>
      <w:tblPr>
        <w:tblW w:w="8879" w:type="dxa"/>
        <w:jc w:val="center"/>
        <w:tblInd w:w="0" w:type="dxa"/>
        <w:tblLayout w:type="fixed"/>
        <w:tblCellMar>
          <w:top w:w="28" w:type="dxa"/>
          <w:left w:w="28" w:type="dxa"/>
          <w:bottom w:w="28" w:type="dxa"/>
          <w:right w:w="28" w:type="dxa"/>
        </w:tblCellMar>
      </w:tblPr>
      <w:tblGrid>
        <w:gridCol w:w="1554"/>
        <w:gridCol w:w="1364"/>
        <w:gridCol w:w="1371"/>
        <w:gridCol w:w="449"/>
        <w:gridCol w:w="864"/>
        <w:gridCol w:w="232"/>
        <w:gridCol w:w="109"/>
        <w:gridCol w:w="109"/>
        <w:gridCol w:w="109"/>
        <w:gridCol w:w="449"/>
        <w:gridCol w:w="864"/>
        <w:gridCol w:w="232"/>
        <w:gridCol w:w="109"/>
        <w:gridCol w:w="109"/>
        <w:gridCol w:w="109"/>
        <w:gridCol w:w="211"/>
        <w:gridCol w:w="481"/>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and amortization of loan and leasing fees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income</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i/>
          <w:color w:val="000000"/>
          <w:sz w:val="20"/>
        </w:rPr>
        <w:t xml:space="preserve">Credit Facilities </w:t>
      </w:r>
      <w:r>
        <w:rPr>
          <w:rFonts w:ascii="Times New Roman;serif" w:hAnsi="Times New Roman;serif"/>
          <w:b w:val="false"/>
          <w:color w:val="000000"/>
          <w:sz w:val="20"/>
        </w:rPr>
        <w:t>In the normal course of business, in addition to using its available cash, GM Financial utilizes borrowings under its credit facilities, which may be secured or unsecured, and GM Financial repays these borrowings as appropriate under its cash management strategy. At September 30, 2026, secured and unsecured credit facilities totaled $28.2 billion and $4.0 billion, with advances outstanding of $9.0 billion and $2.7 billion.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did not have any borrowings outstanding against our credit facility designated for their exclusive use or the remainder of our revolving credit facilities at September 30, 2026 and December 31, 2025. Refer to the "Automotive Liquidity" section of this MD&amp;A for additional details.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Critical Accounting Estimates </w:t>
      </w:r>
      <w:r>
        <w:rPr>
          <w:rFonts w:ascii="Times New Roman;serif" w:hAnsi="Times New Roman;serif"/>
          <w:b w:val="false"/>
          <w:color w:val="000000"/>
          <w:sz w:val="20"/>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Non-GAAP Measures </w:t>
      </w:r>
      <w:r>
        <w:rPr>
          <w:rFonts w:ascii="Times New Roman;serif" w:hAnsi="Times New Roman;serif"/>
          <w:b w:val="false"/>
          <w:color w:val="000000"/>
          <w:sz w:val="20"/>
        </w:rPr>
        <w:t xml:space="preserve">We use both GAAP and non-GAAP financial measures for operational and financial decision making, and to assess Company and 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EBIT-adjusted </w:t>
      </w:r>
      <w:r>
        <w:rPr>
          <w:rFonts w:ascii="Times New Roman;serif" w:hAnsi="Times New Roman;serif"/>
          <w:b w:val="false"/>
          <w:i/>
          <w:color w:val="000000"/>
          <w:sz w:val="20"/>
        </w:rPr>
        <w:t xml:space="preserve">(Most comparable GAAP measure: Net income attributable to stockholders) </w:t>
      </w:r>
      <w:r>
        <w:rPr>
          <w:rFonts w:ascii="Times New Roman;serif" w:hAnsi="Times New Roman;serif"/>
          <w:b w:val="false"/>
          <w:color w:val="000000"/>
          <w:sz w:val="20"/>
        </w:rPr>
        <w:t xml:space="preserve">EBIT-adjusted is presented net 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measure in any future periods in which there is an impact from the item. Our corresponding measure for our GM Financial segment is EBT-adjusted because interest income and interest expense are an integral part of its financial performance.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EPS-diluted-adjusted</w:t>
      </w:r>
      <w:r>
        <w:rPr>
          <w:color w:val="000000"/>
        </w:rPr>
        <w:t xml:space="preserve"> </w:t>
      </w:r>
      <w:r>
        <w:rPr>
          <w:rFonts w:ascii="Times New Roman;serif" w:hAnsi="Times New Roman;serif"/>
          <w:b w:val="false"/>
          <w:i/>
          <w:color w:val="000000"/>
          <w:sz w:val="20"/>
        </w:rPr>
        <w:t xml:space="preserve">(Most comparable GAAP measure: Diluted earnings per common share) </w:t>
      </w:r>
      <w:r>
        <w:rPr>
          <w:rFonts w:ascii="Times New Roman;serif" w:hAnsi="Times New Roman;serif"/>
          <w:b w:val="false"/>
          <w:color w:val="000000"/>
          <w:sz w:val="20"/>
        </w:rPr>
        <w:t xml:space="preserve">EPS-diluted-adjusted is used 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ETR-adjusted</w:t>
      </w:r>
      <w:r>
        <w:rPr>
          <w:color w:val="000000"/>
        </w:rPr>
        <w:t xml:space="preserve"> </w:t>
      </w:r>
      <w:r>
        <w:rPr>
          <w:rFonts w:ascii="Times New Roman;serif" w:hAnsi="Times New Roman;serif"/>
          <w:b w:val="false"/>
          <w:i/>
          <w:color w:val="000000"/>
          <w:sz w:val="20"/>
        </w:rPr>
        <w:t>(Most comparable GAAP measure: Effective tax rate)</w:t>
      </w:r>
      <w:r>
        <w:rPr>
          <w:color w:val="000000"/>
        </w:rPr>
        <w:t xml:space="preserve"> </w:t>
      </w:r>
      <w:r>
        <w:rPr>
          <w:rFonts w:ascii="Times New Roman;serif" w:hAnsi="Times New Roman;serif"/>
          <w:b w:val="false"/>
          <w:color w:val="000000"/>
          <w:sz w:val="20"/>
        </w:rPr>
        <w:t xml:space="preserve">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ROIC-adjusted</w:t>
      </w:r>
      <w:r>
        <w:rPr>
          <w:color w:val="000000"/>
        </w:rPr>
        <w:t xml:space="preserve"> </w:t>
      </w:r>
      <w:r>
        <w:rPr>
          <w:rFonts w:ascii="Times New Roman;serif" w:hAnsi="Times New Roman;serif"/>
          <w:b w:val="false"/>
          <w:i/>
          <w:color w:val="000000"/>
          <w:sz w:val="20"/>
        </w:rPr>
        <w:t>(Most comparable GAAP measure: Return on equity)</w:t>
      </w:r>
      <w:r>
        <w:rPr>
          <w:color w:val="000000"/>
        </w:rPr>
        <w:t xml:space="preserve"> </w:t>
      </w:r>
      <w:r>
        <w:rPr>
          <w:rFonts w:ascii="Times New Roman;serif" w:hAnsi="Times New Roman;serif"/>
          <w:b w:val="false"/>
          <w:color w:val="000000"/>
          <w:sz w:val="20"/>
        </w:rPr>
        <w:t>ROIC-adjusted is used by management and can be used by investors to review our 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Adjusted automotive free cash flow</w:t>
      </w:r>
      <w:r>
        <w:rPr>
          <w:color w:val="000000"/>
        </w:rPr>
        <w:t xml:space="preserve"> </w:t>
      </w:r>
      <w:r>
        <w:rPr>
          <w:rFonts w:ascii="Times New Roman;serif" w:hAnsi="Times New Roman;serif"/>
          <w:b w:val="false"/>
          <w:i/>
          <w:color w:val="000000"/>
          <w:sz w:val="20"/>
        </w:rPr>
        <w:t>(Most comparable GAAP measure: Net automotive cash provided by operating activities)</w:t>
      </w:r>
      <w:r>
        <w:rPr>
          <w:color w:val="000000"/>
        </w:rPr>
        <w:t xml:space="preserve"> </w:t>
      </w:r>
      <w:r>
        <w:rPr>
          <w:rFonts w:ascii="Times New Roman;serif" w:hAnsi="Times New Roman;serif"/>
          <w:b w:val="false"/>
          <w:color w:val="000000"/>
          <w:sz w:val="20"/>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starting with automotive operating cash flow from operations. We subtract capital expenditures, add the imputed cash effects of third-party payments made on our behalf for inventory banking, and subtract the cash effects when the banked inventory is consumed. The result is then adjusted for management actions, which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(loss) attributable to stockholders to EBIT-adjusted:</w:t>
      </w:r>
    </w:p>
    <w:tbl>
      <w:tblPr>
        <w:tblW w:w="11263" w:type="dxa"/>
        <w:jc w:val="center"/>
        <w:tblInd w:w="0" w:type="dxa"/>
        <w:tblLayout w:type="fixed"/>
        <w:tblCellMar>
          <w:top w:w="28" w:type="dxa"/>
          <w:left w:w="28" w:type="dxa"/>
          <w:bottom w:w="28" w:type="dxa"/>
          <w:right w:w="28" w:type="dxa"/>
        </w:tblCellMar>
      </w:tblPr>
      <w:tblGrid>
        <w:gridCol w:w="674"/>
        <w:gridCol w:w="368"/>
        <w:gridCol w:w="3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3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EV strategic realignment(a)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 restructuring actions(b)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Legal matters(c)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Restructuring and other strategic actions(d)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(a)These adjustments were excluded because they relate to our strategic realignment of our EV capacity and manufacturing footprint, including Ultium's strategic realignment.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(b)These adjustments were excluded because they relate to restructuring activities associated with our operations in China, including an other-than-temporary impairment and restructuring charges recorded in equity earnings associated with our Automotive China JVs.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(c)These adjustments were excluded because they relate to investigations and litigation associated with our former OnStar Smart Driver product and an indemnification charge for a European-wide Takata related recall.</w:t>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(d)These adjustments were excluded because they relate to restructuring and strategic actions associated with employee separations, autonomous and assisted driving, manufacturing operations in Colombia and Ecuador, Buick’s EV strategy, and the GM headquarters relocation.</w:t>
      </w:r>
    </w:p>
    <w:p>
      <w:pPr>
        <w:pStyle w:val="TextBody"/>
        <w:bidi w:val="0"/>
        <w:spacing w:before="0" w:after="0"/>
        <w:jc w:val="both"/>
        <w:rPr/>
      </w:pPr>
      <w:r>
        <w:rPr/>
      </w:r>
    </w:p>
    <w:p>
      <w:pPr>
        <w:pStyle w:val="TextBody"/>
        <w:bidi w:val="0"/>
        <w:spacing w:lineRule="auto" w:line="288" w:before="0" w:after="0"/>
        <w:ind w:left="0" w:right="0" w:firstLine="180"/>
        <w:jc w:val="left"/>
        <w:rPr/>
      </w:pPr>
      <w:r>
        <w:rPr>
          <w:rFonts w:ascii="Times New Roman;serif" w:hAnsi="Times New Roman;serif"/>
          <w:b w:val="false"/>
          <w:color w:val="000000"/>
          <w:sz w:val="20"/>
        </w:rPr>
        <w:t>The following table reconciles diluted earnin</w:t>
      </w:r>
      <w:r>
        <w:rPr>
          <w:rFonts w:ascii="Times New Roman;serif" w:hAnsi="Times New Roman;serif"/>
          <w:b w:val="false"/>
          <w:color w:val="000000"/>
          <w:sz w:val="20"/>
          <w:shd w:fill="FFFFFF" w:val="clear"/>
        </w:rPr>
        <w:t>gs pe</w:t>
      </w:r>
      <w:r>
        <w:rPr>
          <w:rFonts w:ascii="Times New Roman;serif" w:hAnsi="Times New Roman;serif"/>
          <w:b w:val="false"/>
          <w:color w:val="000000"/>
          <w:sz w:val="20"/>
        </w:rPr>
        <w:t xml:space="preserve">r common share to EPS-diluted-adjusted: </w:t>
      </w:r>
    </w:p>
    <w:tbl>
      <w:tblPr>
        <w:tblW w:w="11353" w:type="dxa"/>
        <w:jc w:val="center"/>
        <w:tblInd w:w="0" w:type="dxa"/>
        <w:tblLayout w:type="fixed"/>
        <w:tblCellMar>
          <w:top w:w="28" w:type="dxa"/>
          <w:left w:w="28" w:type="dxa"/>
          <w:bottom w:w="28" w:type="dxa"/>
          <w:right w:w="28" w:type="dxa"/>
        </w:tblCellMar>
      </w:tblPr>
      <w:tblGrid>
        <w:gridCol w:w="1140"/>
        <w:gridCol w:w="442"/>
        <w:gridCol w:w="26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adjustments(b)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adjustments(c)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from preferred shareholders(d)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EPS-diluted-adjusted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Net income (loss) attributable to stockholders to EBIT-adjusted within this section of MD&amp;A for adjustment details.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tax effect of each adjustment is determined based on the tax laws and valuation allowance status of the jurisdiction to which the adjustment relates.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(c)These adjustments consist of tax benefits from a change to a subsidiary's legal entity tax classification.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(d)This adjustment consists of a return from the preferred shareholders related to the redemption of Cruise preferred shares from noncontrolling interest holders in the nine months ended September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our effective tax rate to ETR-adjusted: </w:t>
      </w:r>
    </w:p>
    <w:tbl>
      <w:tblPr>
        <w:tblW w:w="15635" w:type="dxa"/>
        <w:jc w:val="center"/>
        <w:tblInd w:w="0" w:type="dxa"/>
        <w:tblLayout w:type="fixed"/>
        <w:tblCellMar>
          <w:top w:w="28" w:type="dxa"/>
          <w:left w:w="28" w:type="dxa"/>
          <w:bottom w:w="28" w:type="dxa"/>
          <w:right w:w="28" w:type="dxa"/>
        </w:tblCellMar>
      </w:tblPr>
      <w:tblGrid>
        <w:gridCol w:w="588"/>
        <w:gridCol w:w="384"/>
        <w:gridCol w:w="274"/>
        <w:gridCol w:w="211"/>
        <w:gridCol w:w="616"/>
        <w:gridCol w:w="109"/>
        <w:gridCol w:w="109"/>
        <w:gridCol w:w="109"/>
        <w:gridCol w:w="109"/>
        <w:gridCol w:w="211"/>
        <w:gridCol w:w="466"/>
        <w:gridCol w:w="109"/>
        <w:gridCol w:w="109"/>
        <w:gridCol w:w="109"/>
        <w:gridCol w:w="109"/>
        <w:gridCol w:w="255"/>
        <w:gridCol w:w="256"/>
        <w:gridCol w:w="351"/>
        <w:gridCol w:w="109"/>
        <w:gridCol w:w="109"/>
        <w:gridCol w:w="109"/>
        <w:gridCol w:w="211"/>
        <w:gridCol w:w="616"/>
        <w:gridCol w:w="109"/>
        <w:gridCol w:w="109"/>
        <w:gridCol w:w="109"/>
        <w:gridCol w:w="109"/>
        <w:gridCol w:w="211"/>
        <w:gridCol w:w="466"/>
        <w:gridCol w:w="109"/>
        <w:gridCol w:w="109"/>
        <w:gridCol w:w="109"/>
        <w:gridCol w:w="109"/>
        <w:gridCol w:w="313"/>
        <w:gridCol w:w="198"/>
        <w:gridCol w:w="351"/>
        <w:gridCol w:w="109"/>
        <w:gridCol w:w="109"/>
        <w:gridCol w:w="109"/>
        <w:gridCol w:w="211"/>
        <w:gridCol w:w="721"/>
        <w:gridCol w:w="109"/>
        <w:gridCol w:w="109"/>
        <w:gridCol w:w="109"/>
        <w:gridCol w:w="109"/>
        <w:gridCol w:w="211"/>
        <w:gridCol w:w="616"/>
        <w:gridCol w:w="109"/>
        <w:gridCol w:w="109"/>
        <w:gridCol w:w="109"/>
        <w:gridCol w:w="109"/>
        <w:gridCol w:w="255"/>
        <w:gridCol w:w="256"/>
        <w:gridCol w:w="351"/>
        <w:gridCol w:w="109"/>
        <w:gridCol w:w="109"/>
        <w:gridCol w:w="109"/>
        <w:gridCol w:w="211"/>
        <w:gridCol w:w="616"/>
        <w:gridCol w:w="109"/>
        <w:gridCol w:w="109"/>
        <w:gridCol w:w="109"/>
        <w:gridCol w:w="109"/>
        <w:gridCol w:w="211"/>
        <w:gridCol w:w="616"/>
        <w:gridCol w:w="109"/>
        <w:gridCol w:w="327"/>
        <w:gridCol w:w="511"/>
        <w:gridCol w:w="402"/>
      </w:tblGrid>
      <w:tr>
        <w:trPr/>
        <w:tc>
          <w:tcPr>
            <w:tcW w:w="5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adjustments(b)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ETR-adjusted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(b)Refer to the reconciliation of diluted earnings (loss) per common share to EPS-diluted adjusted within this section of MD&amp;A for adjustment details.</w:t>
      </w:r>
    </w:p>
    <w:p>
      <w:pPr>
        <w:pStyle w:val="TextBody"/>
        <w:bidi w:val="0"/>
        <w:spacing w:before="0" w:after="0"/>
        <w:ind w:left="0" w:right="0" w:hanging="36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tbl>
      <w:tblPr>
        <w:tblW w:w="6972" w:type="dxa"/>
        <w:jc w:val="center"/>
        <w:tblInd w:w="0" w:type="dxa"/>
        <w:tblLayout w:type="fixed"/>
        <w:tblCellMar>
          <w:top w:w="28" w:type="dxa"/>
          <w:left w:w="28" w:type="dxa"/>
          <w:bottom w:w="28" w:type="dxa"/>
          <w:right w:w="28" w:type="dxa"/>
        </w:tblCellMar>
      </w:tblPr>
      <w:tblGrid>
        <w:gridCol w:w="1207"/>
        <w:gridCol w:w="1060"/>
        <w:gridCol w:w="1063"/>
        <w:gridCol w:w="327"/>
        <w:gridCol w:w="796"/>
        <w:gridCol w:w="421"/>
        <w:gridCol w:w="127"/>
        <w:gridCol w:w="127"/>
        <w:gridCol w:w="127"/>
        <w:gridCol w:w="127"/>
        <w:gridCol w:w="323"/>
        <w:gridCol w:w="783"/>
        <w:gridCol w:w="48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 Quarters Ended</w:t>
            </w:r>
          </w:p>
        </w:tc>
        <w:tc>
          <w:tcPr>
            <w:tcW w:w="1590" w:type="dxa"/>
            <w:gridSpan w:val="3"/>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stockholders</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equity(a)</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ROE</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equity of noncontrolling interests where the corresponding earnings (loss) are included in Net income attributable to stockholders.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ROIC-adjusted (dollars in billions):</w:t>
      </w:r>
    </w:p>
    <w:tbl>
      <w:tblPr>
        <w:tblW w:w="10061" w:type="dxa"/>
        <w:jc w:val="left"/>
        <w:tblInd w:w="0" w:type="dxa"/>
        <w:tblLayout w:type="fixed"/>
        <w:tblCellMar>
          <w:top w:w="28" w:type="dxa"/>
          <w:left w:w="28" w:type="dxa"/>
          <w:bottom w:w="28" w:type="dxa"/>
          <w:right w:w="28" w:type="dxa"/>
        </w:tblCellMar>
      </w:tblPr>
      <w:tblGrid>
        <w:gridCol w:w="2392"/>
        <w:gridCol w:w="2102"/>
        <w:gridCol w:w="2106"/>
        <w:gridCol w:w="328"/>
        <w:gridCol w:w="795"/>
        <w:gridCol w:w="421"/>
        <w:gridCol w:w="109"/>
        <w:gridCol w:w="109"/>
        <w:gridCol w:w="109"/>
        <w:gridCol w:w="323"/>
        <w:gridCol w:w="783"/>
        <w:gridCol w:w="484"/>
      </w:tblGrid>
      <w:tr>
        <w:trPr/>
        <w:tc>
          <w:tcPr>
            <w:tcW w:w="239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 Quarters Ended</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EBIT-adjusted(a)</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equity(b)</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Average automotive debt and interest liabilities (excluding finance leases)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Average automotive net pension and OPEB liability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Average automotive net income tax asset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ROIC-adjusted average net assets</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ROIC-adjusted</w:t>
            </w:r>
          </w:p>
        </w:tc>
        <w:tc>
          <w:tcPr>
            <w:tcW w:w="112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48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(a)Refer to the reconciliation of Net income (loss) attributable to stockholders to EBIT-adjusted within this section of MD&amp;A.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equity of noncontrolling interests where the corresponding earnings (loss) are included in EBIT-adjusted.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Forward-Looking Statements </w:t>
      </w:r>
      <w:r>
        <w:rPr>
          <w:rFonts w:ascii="Times New Roman;serif" w:hAnsi="Times New Roman;serif"/>
          <w:b w:val="false"/>
          <w:color w:val="000000"/>
          <w:sz w:val="20"/>
        </w:rPr>
        <w:t xml:space="preserve">This report and the other reports filed by us with the SEC from time to time, as well as 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that are able to attract a sufficient number of consumers; (4) our ability to profitably deliver a strategic portfolio of EVs; (5) adoption of EVs by consumers; (6) the success of our current line of ICE vehicles, particularly our full-size ICE SUVs and full-size ICE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evolving regulation of GHG emissions, changing consumer preferences and demand, and the potential increased impacts of severe weather events; (10) global automobile market sales volume, which can be volatile; (11) inflationary pressures and persistently high prices and uncertain availability of commodities, raw materials, and other inputs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tariffs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components, and raw materials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One Big Beautiful Bill Act and/or relating to fuel economy, emissions, and AVs; (23) costs and risks associated with litigation, governmental investigations, and other proceedings;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(27) any significant increase in our pension funding requirements; and (28) uncertainties regarding the IEEPA tariff refunds, including the timing and extent of these refunds. A further discussion of these risks, uncertainties, and other factors can be found in Part I, Item 1A. Risk Factors of our 2025 Form 10-K and our subsequent filings with the SEC.</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exposure to market risk since December 31, 2025. For further discussion on market risk, refer to Part II, Item 7A. of our 2025 Form 10-K.</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shd w:fill="FFFFFF" w:val="clear"/>
        </w:rPr>
        <w:t xml:space="preserve">Disclosure Controls and Procedures </w:t>
      </w:r>
      <w:r>
        <w:rPr>
          <w:rFonts w:ascii="Times New Roman;serif" w:hAnsi="Times New Roman;serif"/>
          <w:b w:val="false"/>
          <w:color w:val="000000"/>
          <w:sz w:val="20"/>
          <w:shd w:fill="FFFFFF" w:val="clear"/>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shd w:fill="FFFFFF" w:val="clear"/>
        </w:rPr>
        <w:t>Our management, with the participation of our CEO and CFO, evaluated the effectiveness of our disclosure controls and procedures (as defined in Rules 13a-15(e) or 15d-15(e) promulgated under the Exchange Act) as of September 30, 2026 as required by paragraph (b) of Rules 13a-15 or 15d-15. Based on this evaluation, at a reasonable assurance level, our CEO and CFO concluded that our disclosure controls and procedu</w:t>
      </w:r>
      <w:r>
        <w:rPr>
          <w:rFonts w:ascii="Times New Roman;serif" w:hAnsi="Times New Roman;serif"/>
          <w:b w:val="false"/>
          <w:color w:val="000000"/>
          <w:sz w:val="20"/>
        </w:rPr>
        <w:t>res were effective as of September 30, 2026.</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Changes in Internal Control over Financial Reporting </w:t>
      </w:r>
      <w:r>
        <w:rPr>
          <w:rFonts w:ascii="Times New Roman;serif" w:hAnsi="Times New Roman;serif"/>
          <w:b w:val="false"/>
          <w:color w:val="000000"/>
          <w:sz w:val="20"/>
        </w:rPr>
        <w:t>We initiated actions to enhance our close, consolidation, planning, and reporting processes through a phased implementation of new systems and system architectures. In the three months ended September 30, 2026, we updated our close, consolidation, and financial reporting systems, processes, and related internal controls, inclusive of the discussion of our operating results in MD&amp;A.</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There have not been any other changes in</w:t>
      </w:r>
      <w:r>
        <w:rPr>
          <w:color w:val="000000"/>
          <w:shd w:fill="FFFFFF" w:val="clear"/>
        </w:rPr>
        <w:t xml:space="preserve"> </w:t>
      </w:r>
      <w:r>
        <w:rPr>
          <w:rFonts w:ascii="Times New Roman;serif" w:hAnsi="Times New Roman;serif"/>
          <w:b w:val="false"/>
          <w:color w:val="000000"/>
          <w:sz w:val="20"/>
          <w:shd w:fill="FFFFFF" w:val="clear"/>
        </w:rPr>
        <w:t>our internal control over financial reporting during the three months ended September 30, 2026 that have materially affected, or are r</w:t>
      </w:r>
      <w:r>
        <w:rPr>
          <w:rFonts w:ascii="Times New Roman;serif" w:hAnsi="Times New Roman;serif"/>
          <w:b w:val="false"/>
          <w:color w:val="000000"/>
          <w:sz w:val="20"/>
        </w:rPr>
        <w:t>easonably likely to materially affect, our internal control over financial reporting.</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PART II</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shd w:fill="FFFFFF" w:val="clear"/>
        </w:rPr>
        <w:t xml:space="preserve">The discussion under </w:t>
      </w:r>
      <w:r>
        <w:rPr>
          <w:rFonts w:ascii="Times New Roman;serif" w:hAnsi="Times New Roman;serif"/>
          <w:b w:val="false"/>
          <w:color w:val="000000"/>
          <w:sz w:val="20"/>
        </w:rPr>
        <w:t>Note 13</w:t>
      </w:r>
      <w:r>
        <w:rPr>
          <w:color w:val="000000"/>
          <w:shd w:fill="FFFFFF" w:val="clear"/>
        </w:rPr>
        <w:t xml:space="preserve"> </w:t>
      </w:r>
      <w:r>
        <w:rPr>
          <w:rFonts w:ascii="Times New Roman;serif" w:hAnsi="Times New Roman;serif"/>
          <w:b w:val="false"/>
          <w:color w:val="000000"/>
          <w:sz w:val="20"/>
        </w:rPr>
        <w:t>to our condensed consolidated financial statements is incorporated by reference into this Part II, Item 1.</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2025 Form 10-K, other than as set forth in Part II, Item 1A. Risk Factors of our Quarterly Report on Form 10-Q for the three months ended March 31, 2026.</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Purchases of Equity Securities </w:t>
      </w:r>
      <w:r>
        <w:rPr>
          <w:rFonts w:ascii="Times New Roman;serif" w:hAnsi="Times New Roman;serif"/>
          <w:b w:val="false"/>
          <w:color w:val="000000"/>
          <w:sz w:val="20"/>
        </w:rPr>
        <w:t>The following table summarizes our purchases of common stock in the three months ended September 30, 2026:</w:t>
      </w:r>
    </w:p>
    <w:tbl>
      <w:tblPr>
        <w:tblW w:w="10205" w:type="dxa"/>
        <w:jc w:val="left"/>
        <w:tblInd w:w="0" w:type="dxa"/>
        <w:tblLayout w:type="fixed"/>
        <w:tblCellMar>
          <w:top w:w="28" w:type="dxa"/>
          <w:left w:w="28" w:type="dxa"/>
          <w:bottom w:w="28" w:type="dxa"/>
          <w:right w:w="28" w:type="dxa"/>
        </w:tblCellMar>
      </w:tblPr>
      <w:tblGrid>
        <w:gridCol w:w="762"/>
        <w:gridCol w:w="540"/>
        <w:gridCol w:w="542"/>
        <w:gridCol w:w="825"/>
        <w:gridCol w:w="490"/>
        <w:gridCol w:w="492"/>
        <w:gridCol w:w="109"/>
        <w:gridCol w:w="109"/>
        <w:gridCol w:w="109"/>
        <w:gridCol w:w="444"/>
        <w:gridCol w:w="1301"/>
        <w:gridCol w:w="231"/>
        <w:gridCol w:w="109"/>
        <w:gridCol w:w="109"/>
        <w:gridCol w:w="109"/>
        <w:gridCol w:w="774"/>
        <w:gridCol w:w="441"/>
        <w:gridCol w:w="442"/>
        <w:gridCol w:w="109"/>
        <w:gridCol w:w="109"/>
        <w:gridCol w:w="109"/>
        <w:gridCol w:w="565"/>
        <w:gridCol w:w="565"/>
        <w:gridCol w:w="810"/>
      </w:tblGrid>
      <w:tr>
        <w:trPr/>
        <w:tc>
          <w:tcPr>
            <w:tcW w:w="7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Price Paid per Share(b)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br/>
              <w:t>Purchased as Part of Publicly</w:t>
              <w:br/>
              <w:t>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w:t>
              <w:br/>
              <w:t>May Yet be Purchased Under the Plans or Programs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through July 31, 2026</w:t>
            </w:r>
          </w:p>
        </w:tc>
        <w:tc>
          <w:tcPr>
            <w:tcW w:w="13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2,446,720 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2,287,166 </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 billion</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through August 31, 2026</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8,264,403 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8,258,280 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billion</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through September 30, 2026</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18,753,811 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18,753,811 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billion</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29,464,934 </w:t>
            </w:r>
          </w:p>
        </w:tc>
        <w:tc>
          <w:tcPr>
            <w:tcW w:w="4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29,299,257 </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(a)Shares purchased include shares delivered by employees or directors to us for the payment of taxes resulting from the issuance of common stock upon the vesting of RSUs relating to compensation plans. Refer to our 2025 Form 10-K for additional details on employee stock incentive plans.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weighted-average price paid per share excludes broker commissions.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following directors or officers of the Company adopted a "Rule 10b5-1 trading arrangement" or "non-Rule 10b5-1 trading arrangement," as each term is defined in Item 408 of Regulation S-K: (1) on August 5, 2026, Rory V. Harvey, Executive Vice President and President, Global Markets, adopted a trading plan intended to satisfy Rule 10b5-1(c) to sell up to 16,513 shares of GM common stock between November 4, 2026 and February 28, 2027, subject to certain conditions; and (2) on August 19, 2026, Paul A. Jacobson, Executive Vice President and Chief Financial Officer, adopted a trading plan intended to satisfy Rule 10b5-1(c) to sell up to 150,000 shares of GM common stock between November 18, 2026 and February 5, 2027, subject to certain conditions.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25"/>
        <w:gridCol w:w="285"/>
        <w:gridCol w:w="286"/>
        <w:gridCol w:w="109"/>
        <w:gridCol w:w="109"/>
        <w:gridCol w:w="109"/>
        <w:gridCol w:w="2549"/>
        <w:gridCol w:w="2405"/>
        <w:gridCol w:w="2366"/>
        <w:gridCol w:w="109"/>
        <w:gridCol w:w="109"/>
        <w:gridCol w:w="109"/>
        <w:gridCol w:w="389"/>
        <w:gridCol w:w="389"/>
        <w:gridCol w:w="557"/>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Certificate of Incorporation of General Motors Company dated June 3, 2025, incorporated by reference to Exhibit 3.1 to the Current Report on Form 8-K of General Motors Company filed June 5,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General Motors Company Amended and Restated Bylaws, as amended October 4, 2024, incorporated by reference to Exhibit 3.1 to the Current Report on Form 8-K of General Motors Company filed October 9,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80"/>
                  <w:sz w:val="20"/>
                  <w:u w:val="single"/>
                </w:rPr>
                <w:t>Master</w:t>
              </w:r>
            </w:hyperlink>
            <w:hyperlink r:id="rId6">
              <w:r>
                <w:rPr>
                  <w:rStyle w:val="InternetLink"/>
                  <w:rFonts w:ascii="Times New Roman;serif" w:hAnsi="Times New Roman;serif"/>
                  <w:b w:val="false"/>
                  <w:color w:val="000080"/>
                  <w:sz w:val="20"/>
                  <w:u w:val="single"/>
                </w:rPr>
                <w:t xml:space="preserve"> Irrevocable</w:t>
              </w:r>
            </w:hyperlink>
            <w:hyperlink r:id="rId7">
              <w:r>
                <w:rPr>
                  <w:rStyle w:val="InternetLink"/>
                  <w:rFonts w:ascii="Times New Roman;serif" w:hAnsi="Times New Roman;serif"/>
                  <w:b w:val="false"/>
                  <w:color w:val="000080"/>
                  <w:sz w:val="20"/>
                  <w:u w:val="single"/>
                </w:rPr>
                <w:t xml:space="preserve"> I</w:t>
              </w:r>
            </w:hyperlink>
            <w:hyperlink r:id="rId8">
              <w:r>
                <w:rPr>
                  <w:rStyle w:val="InternetLink"/>
                  <w:rFonts w:ascii="Times New Roman;serif" w:hAnsi="Times New Roman;serif"/>
                  <w:b w:val="false"/>
                  <w:color w:val="000080"/>
                  <w:sz w:val="20"/>
                  <w:u w:val="single"/>
                </w:rPr>
                <w:t>ndependent Payment Undertaking</w:t>
              </w:r>
            </w:hyperlink>
            <w:hyperlink r:id="rId9">
              <w:r>
                <w:rPr>
                  <w:rStyle w:val="InternetLink"/>
                  <w:rFonts w:ascii="Times New Roman;serif" w:hAnsi="Times New Roman;serif"/>
                  <w:b w:val="false"/>
                  <w:color w:val="000080"/>
                  <w:sz w:val="20"/>
                  <w:u w:val="single"/>
                </w:rPr>
                <w:t xml:space="preserve"> Agreement, dated as of August 7, 2026, by and among General Motors Company, General Motors LLC, and Procura Auto Parts LLC, incorporated by reference to Exhibit 10.1 to the Current Report on Form 8-K of General Motors Company filed August 11,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x09302026.htm">
              <w:r>
                <w:rPr>
                  <w:rStyle w:val="InternetLink"/>
                  <w:rFonts w:ascii="Times New Roman;serif" w:hAnsi="Times New Roman;serif"/>
                  <w:b w:val="false"/>
                  <w:color w:val="0000FF"/>
                  <w:sz w:val="20"/>
                  <w:u w:val="single"/>
                </w:rPr>
                <w:t>Section 302 Certification of the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x09302026.htm">
              <w:r>
                <w:rPr>
                  <w:rStyle w:val="InternetLink"/>
                  <w:rFonts w:ascii="Times New Roman;serif" w:hAnsi="Times New Roman;serif"/>
                  <w:b w:val="false"/>
                  <w:color w:val="0000FF"/>
                  <w:sz w:val="20"/>
                  <w:u w:val="single"/>
                </w:rPr>
                <w:t>Section 302 Certification of the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x09302026.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with this Report</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three months ended September 30, 2026, formatted in Inline Extensible Business Reporting Language (Inline XBRL) includes: (i) the Condensed Consolidated Income Statements, (ii) the Condensed Consolidated Statements of Comprehensive Income, (iii) the Condensed Consolidated Balance Sheets, (iv) the Condensed Consolidated Statements of Cash Flows, (v) the Condensed Consolidated Statements of Equity, and (vi) Notes to the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three months ended September 30, 2026,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Schedules and similar attachments have been omitted pursuant to Item 601(a)(5) of Regulation S-K. The Company agrees to furnish a supplemental copy of any omitted schedule or attachment to the Securities and Exchange Commission upon request.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5f3eefb289a49f3a34791c7f213ad8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
        <w:gridCol w:w="172"/>
        <w:gridCol w:w="173"/>
        <w:gridCol w:w="440"/>
        <w:gridCol w:w="440"/>
        <w:gridCol w:w="442"/>
        <w:gridCol w:w="109"/>
        <w:gridCol w:w="109"/>
        <w:gridCol w:w="109"/>
        <w:gridCol w:w="526"/>
        <w:gridCol w:w="526"/>
        <w:gridCol w:w="526"/>
        <w:gridCol w:w="2092"/>
        <w:gridCol w:w="1961"/>
        <w:gridCol w:w="2007"/>
        <w:gridCol w:w="109"/>
        <w:gridCol w:w="109"/>
        <w:gridCol w:w="161"/>
      </w:tblGrid>
      <w:tr>
        <w:trPr/>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MOTORS COMPANY (Registrant)</w:t>
            </w:r>
          </w:p>
          <w:p>
            <w:pPr>
              <w:pStyle w:val="TableContents"/>
              <w:bidi w:val="0"/>
              <w:spacing w:before="0" w:after="0"/>
              <w:jc w:val="left"/>
              <w:rPr/>
            </w:pPr>
            <w:r>
              <w:rPr/>
            </w:r>
          </w:p>
          <w:p>
            <w:pPr>
              <w:pStyle w:val="TableContents"/>
              <w:bidi w:val="0"/>
              <w:spacing w:before="0" w:after="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HATTO</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Hatto, Vice President, Global Business Solutions and Chief Accounting Officer</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Mary T. Barra, certify that: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General Motors Company;</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306"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954"/>
        <w:gridCol w:w="954"/>
        <w:gridCol w:w="9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T. BARRA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T. Barra</w:t>
              <w:br/>
              <w:t>Chair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Paul A. Jacobson, certify that: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General Motors Company;</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both"/>
        <w:rPr/>
      </w:pPr>
      <w:r>
        <w:rPr/>
      </w:r>
    </w:p>
    <w:tbl>
      <w:tblPr>
        <w:tblW w:w="683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463"/>
        <w:gridCol w:w="1463"/>
        <w:gridCol w:w="14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Jacobson</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General Motors Company (the “Company”) on Form 10-Q for the period ended September 30, 2026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683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463"/>
        <w:gridCol w:w="1463"/>
        <w:gridCol w:w="14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T. BARRA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T. Barra</w:t>
              <w:br/>
              <w:t>Chair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Jacobson</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7858/000146785825000112/amendedandrestatedcharter.htm" TargetMode="External"/><Relationship Id="rId4" Type="http://schemas.openxmlformats.org/officeDocument/2006/relationships/hyperlink" Target="https://www.sec.gov/Archives/edgar/data/1467858/000119312524235250/d895658dex31.htm" TargetMode="External"/><Relationship Id="rId5" Type="http://schemas.openxmlformats.org/officeDocument/2006/relationships/hyperlink" Target="https://www.sec.gov/Archives/edgar/data/1467858/000119312526344698/d145571dex101.htm" TargetMode="External"/><Relationship Id="rId6" Type="http://schemas.openxmlformats.org/officeDocument/2006/relationships/hyperlink" Target="https://www.sec.gov/Archives/edgar/data/1467858/000119312526344698/d145571dex101.htm" TargetMode="External"/><Relationship Id="rId7" Type="http://schemas.openxmlformats.org/officeDocument/2006/relationships/hyperlink" Target="https://www.sec.gov/Archives/edgar/data/1467858/000119312526344698/d145571dex101.htm" TargetMode="External"/><Relationship Id="rId8" Type="http://schemas.openxmlformats.org/officeDocument/2006/relationships/hyperlink" Target="https://www.sec.gov/Archives/edgar/data/1467858/000119312526344698/d145571dex101.htm" TargetMode="External"/><Relationship Id="rId9" Type="http://schemas.openxmlformats.org/officeDocument/2006/relationships/hyperlink" Target="https://www.sec.gov/Archives/edgar/data/1467858/000119312526344698/d145571d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29189</Words>
  <Characters>159626</Characters>
  <CharactersWithSpaces>185758</CharactersWithSpaces>
  <Paragraphs>6052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